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36" w:rsidRDefault="00E75436" w:rsidP="00E75436">
      <w:pPr>
        <w:pStyle w:val="DocTitle"/>
      </w:pPr>
      <w:fldSimple w:instr=" TITLE  \* MERGEFORMAT ">
        <w:r>
          <w:t>RFCON - Request For Consultant</w:t>
        </w:r>
      </w:fldSimple>
    </w:p>
    <w:p w:rsidR="00E75436" w:rsidRDefault="00681A7C" w:rsidP="00E75436">
      <w:pPr>
        <w:pStyle w:val="SubjectTitle"/>
      </w:pPr>
      <w:r>
        <w:fldChar w:fldCharType="begin"/>
      </w:r>
      <w:r>
        <w:instrText xml:space="preserve"> SUBJECT  \* MERGEFORMAT </w:instrText>
      </w:r>
      <w:r>
        <w:fldChar w:fldCharType="separate"/>
      </w:r>
      <w:r w:rsidR="00E75436">
        <w:t>&lt;System Name&gt;</w:t>
      </w:r>
      <w:r>
        <w:fldChar w:fldCharType="end"/>
      </w:r>
    </w:p>
    <w:p w:rsidR="00E75436" w:rsidRDefault="00E75436" w:rsidP="00E75436">
      <w:pPr>
        <w:pStyle w:val="FrameShadowed"/>
      </w:pPr>
      <w:r>
        <w:t>The proposed system is of the &lt;ERP/CRM/DW/GIS/etc.&gt; type and meets the accepted general domestic and international standards of the IT sector as well as meeting the requirements detailed in the RFP. The proposal is being submitted, and will later be implemented, in accordance with the MethodA version that is current as of the date of the RFP.</w:t>
      </w:r>
    </w:p>
    <w:p w:rsidR="00E75436" w:rsidRDefault="00E75436" w:rsidP="00E75436">
      <w:pPr>
        <w:pStyle w:val="FrameShadowed"/>
      </w:pPr>
      <w:r>
        <w:t>This template is for use only as licensed by Methoda Ltd.</w:t>
      </w:r>
    </w:p>
    <w:p w:rsidR="00E75436" w:rsidRDefault="00E75436" w:rsidP="00E75436">
      <w:pPr>
        <w:pStyle w:val="SectionTitle"/>
      </w:pPr>
      <w:r>
        <w:t>Table of Contents</w:t>
      </w:r>
    </w:p>
    <w:bookmarkStart w:id="0" w:name="_Toc503766011"/>
    <w:bookmarkStart w:id="1" w:name="_Toc515168718"/>
    <w:bookmarkStart w:id="2" w:name="_Ref22994855"/>
    <w:bookmarkStart w:id="3" w:name="_Toc66088246"/>
    <w:p w:rsidR="00E75436" w:rsidRDefault="00E75436" w:rsidP="00E75436">
      <w:pPr>
        <w:pStyle w:val="TOC1"/>
        <w:rPr>
          <w:rFonts w:asciiTheme="minorHAnsi" w:eastAsiaTheme="minorEastAsia" w:hAnsiTheme="minorHAnsi" w:cstheme="minorBidi"/>
          <w:b w:val="0"/>
          <w:bCs w:val="0"/>
          <w:noProof/>
          <w:sz w:val="22"/>
          <w:szCs w:val="22"/>
          <w:rtl/>
          <w:lang w:eastAsia="en-US"/>
        </w:rPr>
      </w:pPr>
      <w:r>
        <w:rPr>
          <w:rFonts w:cs="Times New Roman"/>
          <w:smallCaps/>
          <w:lang w:eastAsia="en-US"/>
        </w:rPr>
        <w:fldChar w:fldCharType="begin"/>
      </w:r>
      <w:r>
        <w:rPr>
          <w:rFonts w:cs="Times New Roman"/>
          <w:smallCaps/>
          <w:lang w:eastAsia="en-US"/>
        </w:rPr>
        <w:instrText xml:space="preserve"> TOC \o "1-2" \h \z \u </w:instrText>
      </w:r>
      <w:r>
        <w:rPr>
          <w:rFonts w:cs="Times New Roman"/>
          <w:smallCaps/>
          <w:lang w:eastAsia="en-US"/>
        </w:rPr>
        <w:fldChar w:fldCharType="separate"/>
      </w:r>
      <w:hyperlink w:anchor="_Toc401667921" w:history="1">
        <w:r w:rsidRPr="00826098">
          <w:rPr>
            <w:rStyle w:val="Hyperlink"/>
            <w:noProof/>
            <w:lang w:eastAsia="en-US"/>
          </w:rPr>
          <w:t>0. Administration</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Toc401667921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22" w:history="1">
        <w:r w:rsidR="00E75436" w:rsidRPr="00826098">
          <w:rPr>
            <w:rStyle w:val="Hyperlink"/>
            <w:noProof/>
          </w:rPr>
          <w:t>0.1</w:t>
        </w:r>
        <w:r w:rsidR="00E75436">
          <w:rPr>
            <w:rFonts w:asciiTheme="minorHAnsi" w:eastAsiaTheme="minorEastAsia" w:hAnsiTheme="minorHAnsi" w:cstheme="minorBidi"/>
            <w:noProof/>
            <w:sz w:val="22"/>
            <w:szCs w:val="22"/>
            <w:rtl/>
            <w:lang w:eastAsia="en-US"/>
          </w:rPr>
          <w:tab/>
        </w:r>
        <w:r w:rsidR="00E75436" w:rsidRPr="00826098">
          <w:rPr>
            <w:rStyle w:val="Hyperlink"/>
            <w:noProof/>
          </w:rPr>
          <w:t>General</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Toc401667922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2</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23" w:history="1">
        <w:r w:rsidR="00E75436" w:rsidRPr="00826098">
          <w:rPr>
            <w:rStyle w:val="Hyperlink"/>
            <w:noProof/>
          </w:rPr>
          <w:t>0.2</w:t>
        </w:r>
        <w:r w:rsidR="00E75436">
          <w:rPr>
            <w:rFonts w:asciiTheme="minorHAnsi" w:eastAsiaTheme="minorEastAsia" w:hAnsiTheme="minorHAnsi" w:cstheme="minorBidi"/>
            <w:noProof/>
            <w:sz w:val="22"/>
            <w:szCs w:val="22"/>
            <w:rtl/>
            <w:lang w:eastAsia="en-US"/>
          </w:rPr>
          <w:tab/>
        </w:r>
        <w:r w:rsidR="00E75436" w:rsidRPr="00826098">
          <w:rPr>
            <w:rStyle w:val="Hyperlink"/>
            <w:noProof/>
          </w:rPr>
          <w:t>Definitions</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Toc401667923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2</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24" w:history="1">
        <w:r w:rsidR="00E75436" w:rsidRPr="00826098">
          <w:rPr>
            <w:rStyle w:val="Hyperlink"/>
            <w:noProof/>
          </w:rPr>
          <w:t>0.3</w:t>
        </w:r>
        <w:r w:rsidR="00E75436">
          <w:rPr>
            <w:rFonts w:asciiTheme="minorHAnsi" w:eastAsiaTheme="minorEastAsia" w:hAnsiTheme="minorHAnsi" w:cstheme="minorBidi"/>
            <w:noProof/>
            <w:sz w:val="22"/>
            <w:szCs w:val="22"/>
            <w:rtl/>
            <w:lang w:eastAsia="en-US"/>
          </w:rPr>
          <w:tab/>
        </w:r>
        <w:r w:rsidR="00E75436" w:rsidRPr="00826098">
          <w:rPr>
            <w:rStyle w:val="Hyperlink"/>
            <w:noProof/>
          </w:rPr>
          <w:t>Work Procedures and Tools</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Toc401667924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2</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25" w:history="1">
        <w:r w:rsidR="00E75436" w:rsidRPr="00826098">
          <w:rPr>
            <w:rStyle w:val="Hyperlink"/>
            <w:noProof/>
          </w:rPr>
          <w:t>0.4</w:t>
        </w:r>
        <w:r w:rsidR="00E75436">
          <w:rPr>
            <w:rFonts w:asciiTheme="minorHAnsi" w:eastAsiaTheme="minorEastAsia" w:hAnsiTheme="minorHAnsi" w:cstheme="minorBidi"/>
            <w:noProof/>
            <w:sz w:val="22"/>
            <w:szCs w:val="22"/>
            <w:rtl/>
            <w:lang w:eastAsia="en-US"/>
          </w:rPr>
          <w:tab/>
        </w:r>
        <w:r w:rsidR="00E75436" w:rsidRPr="00826098">
          <w:rPr>
            <w:rStyle w:val="Hyperlink"/>
            <w:noProof/>
          </w:rPr>
          <w:t>The RFCon</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Toc401667925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3</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26" w:history="1">
        <w:r w:rsidR="00E75436" w:rsidRPr="00826098">
          <w:rPr>
            <w:rStyle w:val="Hyperlink"/>
            <w:noProof/>
          </w:rPr>
          <w:t>0.5</w:t>
        </w:r>
        <w:r w:rsidR="00E75436">
          <w:rPr>
            <w:rFonts w:asciiTheme="minorHAnsi" w:eastAsiaTheme="minorEastAsia" w:hAnsiTheme="minorHAnsi" w:cstheme="minorBidi"/>
            <w:noProof/>
            <w:sz w:val="22"/>
            <w:szCs w:val="22"/>
            <w:rtl/>
            <w:lang w:eastAsia="en-US"/>
          </w:rPr>
          <w:tab/>
        </w:r>
        <w:r w:rsidR="00E75436" w:rsidRPr="00826098">
          <w:rPr>
            <w:rStyle w:val="Hyperlink"/>
            <w:noProof/>
          </w:rPr>
          <w:t>The Proposal (The Bidder’s Response)</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Toc401667926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4</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27" w:history="1">
        <w:r w:rsidR="00E75436" w:rsidRPr="00826098">
          <w:rPr>
            <w:rStyle w:val="Hyperlink"/>
            <w:noProof/>
          </w:rPr>
          <w:t>0.6</w:t>
        </w:r>
        <w:r w:rsidR="00E75436">
          <w:rPr>
            <w:rFonts w:asciiTheme="minorHAnsi" w:eastAsiaTheme="minorEastAsia" w:hAnsiTheme="minorHAnsi" w:cstheme="minorBidi"/>
            <w:noProof/>
            <w:sz w:val="22"/>
            <w:szCs w:val="22"/>
            <w:rtl/>
            <w:lang w:eastAsia="en-US"/>
          </w:rPr>
          <w:tab/>
        </w:r>
        <w:r w:rsidR="00E75436" w:rsidRPr="00826098">
          <w:rPr>
            <w:rStyle w:val="Hyperlink"/>
            <w:noProof/>
          </w:rPr>
          <w:t>Commitments and Certifications to Cover Bidding</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Toc401667927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5</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28" w:history="1">
        <w:r w:rsidR="00E75436" w:rsidRPr="00826098">
          <w:rPr>
            <w:rStyle w:val="Hyperlink"/>
            <w:noProof/>
          </w:rPr>
          <w:t>0.7</w:t>
        </w:r>
        <w:r w:rsidR="00E75436">
          <w:rPr>
            <w:rFonts w:asciiTheme="minorHAnsi" w:eastAsiaTheme="minorEastAsia" w:hAnsiTheme="minorHAnsi" w:cstheme="minorBidi"/>
            <w:noProof/>
            <w:sz w:val="22"/>
            <w:szCs w:val="22"/>
            <w:rtl/>
            <w:lang w:eastAsia="en-US"/>
          </w:rPr>
          <w:tab/>
        </w:r>
        <w:r w:rsidR="00E75436" w:rsidRPr="00826098">
          <w:rPr>
            <w:rStyle w:val="Hyperlink"/>
            <w:noProof/>
          </w:rPr>
          <w:t>Commitments and Certifications to Cover Winning</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Toc401667928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5</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29" w:history="1">
        <w:r w:rsidR="00E75436" w:rsidRPr="00826098">
          <w:rPr>
            <w:rStyle w:val="Hyperlink"/>
            <w:noProof/>
          </w:rPr>
          <w:t>0.8</w:t>
        </w:r>
        <w:r w:rsidR="00E75436">
          <w:rPr>
            <w:rFonts w:asciiTheme="minorHAnsi" w:eastAsiaTheme="minorEastAsia" w:hAnsiTheme="minorHAnsi" w:cstheme="minorBidi"/>
            <w:noProof/>
            <w:sz w:val="22"/>
            <w:szCs w:val="22"/>
            <w:rtl/>
            <w:lang w:eastAsia="en-US"/>
          </w:rPr>
          <w:tab/>
        </w:r>
        <w:r w:rsidR="00E75436" w:rsidRPr="00826098">
          <w:rPr>
            <w:rStyle w:val="Hyperlink"/>
            <w:noProof/>
          </w:rPr>
          <w:t>Deliverables from the Consultancy (Content of the Work)</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Toc401667929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6</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0" w:history="1">
        <w:r w:rsidR="00E75436" w:rsidRPr="00826098">
          <w:rPr>
            <w:rStyle w:val="Hyperlink"/>
            <w:noProof/>
          </w:rPr>
          <w:t>0.9</w:t>
        </w:r>
        <w:r w:rsidR="00E75436">
          <w:rPr>
            <w:rFonts w:asciiTheme="minorHAnsi" w:eastAsiaTheme="minorEastAsia" w:hAnsiTheme="minorHAnsi" w:cstheme="minorBidi"/>
            <w:noProof/>
            <w:sz w:val="22"/>
            <w:szCs w:val="22"/>
            <w:rtl/>
            <w:lang w:eastAsia="en-US"/>
          </w:rPr>
          <w:tab/>
        </w:r>
        <w:r w:rsidR="00E75436" w:rsidRPr="00826098">
          <w:rPr>
            <w:rStyle w:val="Hyperlink"/>
            <w:noProof/>
          </w:rPr>
          <w:t>Rights of &lt;organization&gt;</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Toc401667930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6</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1" w:history="1">
        <w:r w:rsidR="00E75436" w:rsidRPr="00826098">
          <w:rPr>
            <w:rStyle w:val="Hyperlink"/>
            <w:noProof/>
          </w:rPr>
          <w:t>0.10</w:t>
        </w:r>
        <w:r w:rsidR="00E75436">
          <w:rPr>
            <w:rFonts w:asciiTheme="minorHAnsi" w:eastAsiaTheme="minorEastAsia" w:hAnsiTheme="minorHAnsi" w:cstheme="minorBidi"/>
            <w:noProof/>
            <w:sz w:val="22"/>
            <w:szCs w:val="22"/>
            <w:rtl/>
            <w:lang w:eastAsia="en-US"/>
          </w:rPr>
          <w:tab/>
        </w:r>
        <w:r w:rsidR="00E75436" w:rsidRPr="00826098">
          <w:rPr>
            <w:rStyle w:val="Hyperlink"/>
            <w:noProof/>
          </w:rPr>
          <w:t>Ownership of the RFCon and Proposal</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Toc401667931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6</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2" w:history="1">
        <w:r w:rsidR="00E75436" w:rsidRPr="00826098">
          <w:rPr>
            <w:rStyle w:val="Hyperlink"/>
            <w:noProof/>
          </w:rPr>
          <w:t>0.11</w:t>
        </w:r>
        <w:r w:rsidR="00E75436">
          <w:rPr>
            <w:rFonts w:asciiTheme="minorHAnsi" w:eastAsiaTheme="minorEastAsia" w:hAnsiTheme="minorHAnsi" w:cstheme="minorBidi"/>
            <w:noProof/>
            <w:sz w:val="22"/>
            <w:szCs w:val="22"/>
            <w:rtl/>
            <w:lang w:eastAsia="en-US"/>
          </w:rPr>
          <w:tab/>
        </w:r>
        <w:r w:rsidR="00E75436" w:rsidRPr="00826098">
          <w:rPr>
            <w:rStyle w:val="Hyperlink"/>
            <w:noProof/>
          </w:rPr>
          <w:t>Completeness of the Proposal and Overall Responsibility</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Toc401667932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7</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3" w:history="1">
        <w:r w:rsidR="00E75436" w:rsidRPr="00826098">
          <w:rPr>
            <w:rStyle w:val="Hyperlink"/>
            <w:noProof/>
          </w:rPr>
          <w:t>0.12</w:t>
        </w:r>
        <w:r w:rsidR="00E75436">
          <w:rPr>
            <w:rFonts w:asciiTheme="minorHAnsi" w:eastAsiaTheme="minorEastAsia" w:hAnsiTheme="minorHAnsi" w:cstheme="minorBidi"/>
            <w:noProof/>
            <w:sz w:val="22"/>
            <w:szCs w:val="22"/>
            <w:rtl/>
            <w:lang w:eastAsia="en-US"/>
          </w:rPr>
          <w:tab/>
        </w:r>
        <w:r w:rsidR="00E75436" w:rsidRPr="00826098">
          <w:rPr>
            <w:rStyle w:val="Hyperlink"/>
            <w:noProof/>
          </w:rPr>
          <w:t>Examining and assessing the Proposals</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Toc401667933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7</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4" w:history="1">
        <w:r w:rsidR="00E75436" w:rsidRPr="00826098">
          <w:rPr>
            <w:rStyle w:val="Hyperlink"/>
            <w:noProof/>
          </w:rPr>
          <w:t>0.13</w:t>
        </w:r>
        <w:r w:rsidR="00E75436">
          <w:rPr>
            <w:rFonts w:asciiTheme="minorHAnsi" w:eastAsiaTheme="minorEastAsia" w:hAnsiTheme="minorHAnsi" w:cstheme="minorBidi"/>
            <w:noProof/>
            <w:sz w:val="22"/>
            <w:szCs w:val="22"/>
            <w:rtl/>
            <w:lang w:eastAsia="en-US"/>
          </w:rPr>
          <w:tab/>
        </w:r>
        <w:r w:rsidR="00E75436" w:rsidRPr="00826098">
          <w:rPr>
            <w:rStyle w:val="Hyperlink"/>
            <w:noProof/>
          </w:rPr>
          <w:t>Jurisdiction</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Toc401667934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7</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5" w:history="1">
        <w:r w:rsidR="00E75436" w:rsidRPr="00826098">
          <w:rPr>
            <w:rStyle w:val="Hyperlink"/>
            <w:noProof/>
          </w:rPr>
          <w:t>0.14</w:t>
        </w:r>
        <w:r w:rsidR="00E75436">
          <w:rPr>
            <w:rFonts w:asciiTheme="minorHAnsi" w:eastAsiaTheme="minorEastAsia" w:hAnsiTheme="minorHAnsi" w:cstheme="minorBidi"/>
            <w:noProof/>
            <w:sz w:val="22"/>
            <w:szCs w:val="22"/>
            <w:rtl/>
            <w:lang w:eastAsia="en-US"/>
          </w:rPr>
          <w:tab/>
        </w:r>
        <w:r w:rsidR="00E75436" w:rsidRPr="00826098">
          <w:rPr>
            <w:rStyle w:val="Hyperlink"/>
            <w:noProof/>
          </w:rPr>
          <w:t>Prices</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Toc401667935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7</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lang w:eastAsia="en-US"/>
        </w:rPr>
      </w:pPr>
      <w:hyperlink w:anchor="_Toc401667936" w:history="1">
        <w:r w:rsidR="00E75436" w:rsidRPr="00826098">
          <w:rPr>
            <w:rStyle w:val="Hyperlink"/>
            <w:noProof/>
          </w:rPr>
          <w:t>0.15</w:t>
        </w:r>
        <w:r w:rsidR="00E75436">
          <w:rPr>
            <w:rFonts w:asciiTheme="minorHAnsi" w:eastAsiaTheme="minorEastAsia" w:hAnsiTheme="minorHAnsi" w:cstheme="minorBidi"/>
            <w:noProof/>
            <w:sz w:val="22"/>
            <w:szCs w:val="22"/>
            <w:rtl/>
            <w:lang w:eastAsia="en-US"/>
          </w:rPr>
          <w:tab/>
        </w:r>
        <w:r w:rsidR="00E75436" w:rsidRPr="00826098">
          <w:rPr>
            <w:rStyle w:val="Hyperlink"/>
            <w:noProof/>
          </w:rPr>
          <w:t>Consultant’s Details</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Toc401667936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8</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7" w:history="1">
        <w:r w:rsidR="00E75436" w:rsidRPr="00826098">
          <w:rPr>
            <w:rStyle w:val="Hyperlink"/>
            <w:noProof/>
          </w:rPr>
          <w:t>0.16</w:t>
        </w:r>
        <w:r w:rsidR="00E75436">
          <w:rPr>
            <w:rFonts w:asciiTheme="minorHAnsi" w:eastAsiaTheme="minorEastAsia" w:hAnsiTheme="minorHAnsi" w:cstheme="minorBidi"/>
            <w:noProof/>
            <w:sz w:val="22"/>
            <w:szCs w:val="22"/>
            <w:rtl/>
            <w:lang w:eastAsia="en-US"/>
          </w:rPr>
          <w:tab/>
        </w:r>
        <w:r w:rsidR="00E75436" w:rsidRPr="00826098">
          <w:rPr>
            <w:rStyle w:val="Hyperlink"/>
            <w:noProof/>
          </w:rPr>
          <w:t>National/Business Security</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Toc401667937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8</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8" w:history="1">
        <w:r w:rsidR="00E75436" w:rsidRPr="00826098">
          <w:rPr>
            <w:rStyle w:val="Hyperlink"/>
            <w:noProof/>
          </w:rPr>
          <w:t>0.17</w:t>
        </w:r>
        <w:r w:rsidR="00E75436">
          <w:rPr>
            <w:rFonts w:asciiTheme="minorHAnsi" w:eastAsiaTheme="minorEastAsia" w:hAnsiTheme="minorHAnsi" w:cstheme="minorBidi"/>
            <w:noProof/>
            <w:sz w:val="22"/>
            <w:szCs w:val="22"/>
            <w:rtl/>
            <w:lang w:eastAsia="en-US"/>
          </w:rPr>
          <w:tab/>
        </w:r>
        <w:r w:rsidR="00E75436" w:rsidRPr="00826098">
          <w:rPr>
            <w:rStyle w:val="Hyperlink"/>
            <w:noProof/>
          </w:rPr>
          <w:t>Tools and Methods</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Toc401667938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9</w:t>
        </w:r>
        <w:r w:rsidR="00E75436">
          <w:rPr>
            <w:rStyle w:val="Hyperlink"/>
            <w:noProof/>
            <w:rtl/>
          </w:rPr>
          <w:fldChar w:fldCharType="end"/>
        </w:r>
      </w:hyperlink>
    </w:p>
    <w:p w:rsidR="00E75436" w:rsidRDefault="00681A7C" w:rsidP="002F13B8">
      <w:pPr>
        <w:pStyle w:val="TOC2"/>
        <w:rPr>
          <w:rFonts w:asciiTheme="minorHAnsi" w:eastAsiaTheme="minorEastAsia" w:hAnsiTheme="minorHAnsi" w:cstheme="minorBidi"/>
          <w:noProof/>
          <w:sz w:val="22"/>
          <w:szCs w:val="22"/>
          <w:rtl/>
          <w:lang w:eastAsia="en-US"/>
        </w:rPr>
      </w:pPr>
      <w:hyperlink w:anchor="_Toc401667939" w:history="1">
        <w:r w:rsidR="00E75436" w:rsidRPr="00826098">
          <w:rPr>
            <w:rStyle w:val="Hyperlink"/>
            <w:noProof/>
          </w:rPr>
          <w:t>0.18</w:t>
        </w:r>
        <w:r w:rsidR="00E75436">
          <w:rPr>
            <w:rFonts w:asciiTheme="minorHAnsi" w:eastAsiaTheme="minorEastAsia" w:hAnsiTheme="minorHAnsi" w:cstheme="minorBidi"/>
            <w:noProof/>
            <w:sz w:val="22"/>
            <w:szCs w:val="22"/>
            <w:rtl/>
            <w:lang w:eastAsia="en-US"/>
          </w:rPr>
          <w:tab/>
        </w:r>
        <w:r w:rsidR="00E75436" w:rsidRPr="00826098">
          <w:rPr>
            <w:rStyle w:val="Hyperlink"/>
            <w:noProof/>
          </w:rPr>
          <w:t>Workplan</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Toc401667939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9</w:t>
        </w:r>
        <w:r w:rsidR="00E75436">
          <w:rPr>
            <w:rStyle w:val="Hyperlink"/>
            <w:noProof/>
            <w:rtl/>
          </w:rPr>
          <w:fldChar w:fldCharType="end"/>
        </w:r>
      </w:hyperlink>
    </w:p>
    <w:p w:rsidR="00E75436" w:rsidRDefault="00681A7C" w:rsidP="00E75436">
      <w:pPr>
        <w:pStyle w:val="TOC1"/>
        <w:rPr>
          <w:rFonts w:asciiTheme="minorHAnsi" w:eastAsiaTheme="minorEastAsia" w:hAnsiTheme="minorHAnsi" w:cstheme="minorBidi"/>
          <w:b w:val="0"/>
          <w:bCs w:val="0"/>
          <w:noProof/>
          <w:sz w:val="22"/>
          <w:szCs w:val="22"/>
          <w:rtl/>
          <w:lang w:eastAsia="en-US"/>
        </w:rPr>
      </w:pPr>
      <w:hyperlink w:anchor="_Toc401667940" w:history="1">
        <w:r w:rsidR="00E75436" w:rsidRPr="00826098">
          <w:rPr>
            <w:rStyle w:val="Hyperlink"/>
            <w:noProof/>
          </w:rPr>
          <w:t>Initiation Document</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Toc401667940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11</w:t>
        </w:r>
        <w:r w:rsidR="00E75436">
          <w:rPr>
            <w:rStyle w:val="Hyperlink"/>
            <w:noProof/>
            <w:rtl/>
          </w:rPr>
          <w:fldChar w:fldCharType="end"/>
        </w:r>
      </w:hyperlink>
    </w:p>
    <w:p w:rsidR="00E75436" w:rsidRDefault="00681A7C" w:rsidP="00E75436">
      <w:pPr>
        <w:pStyle w:val="TOC2"/>
        <w:rPr>
          <w:rFonts w:asciiTheme="minorHAnsi" w:eastAsiaTheme="minorEastAsia" w:hAnsiTheme="minorHAnsi" w:cstheme="minorBidi"/>
          <w:noProof/>
          <w:sz w:val="22"/>
          <w:szCs w:val="22"/>
          <w:rtl/>
          <w:lang w:eastAsia="en-US"/>
        </w:rPr>
      </w:pPr>
      <w:hyperlink w:anchor="_Toc401667941" w:history="1">
        <w:r w:rsidR="00E75436" w:rsidRPr="00826098">
          <w:rPr>
            <w:rStyle w:val="Hyperlink"/>
            <w:noProof/>
          </w:rPr>
          <w:t>1. Goals</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Toc401667941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11</w:t>
        </w:r>
        <w:r w:rsidR="00E75436">
          <w:rPr>
            <w:rStyle w:val="Hyperlink"/>
            <w:noProof/>
            <w:rtl/>
          </w:rPr>
          <w:fldChar w:fldCharType="end"/>
        </w:r>
      </w:hyperlink>
    </w:p>
    <w:p w:rsidR="00E75436" w:rsidRDefault="00681A7C" w:rsidP="00E75436">
      <w:pPr>
        <w:pStyle w:val="TOC2"/>
        <w:rPr>
          <w:rFonts w:asciiTheme="minorHAnsi" w:eastAsiaTheme="minorEastAsia" w:hAnsiTheme="minorHAnsi" w:cstheme="minorBidi"/>
          <w:noProof/>
          <w:sz w:val="22"/>
          <w:szCs w:val="22"/>
          <w:rtl/>
          <w:lang w:eastAsia="en-US"/>
        </w:rPr>
      </w:pPr>
      <w:hyperlink w:anchor="_Toc401667942" w:history="1">
        <w:r w:rsidR="00E75436" w:rsidRPr="00826098">
          <w:rPr>
            <w:rStyle w:val="Hyperlink"/>
            <w:noProof/>
          </w:rPr>
          <w:t>2. Application</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Toc401667942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11</w:t>
        </w:r>
        <w:r w:rsidR="00E75436">
          <w:rPr>
            <w:rStyle w:val="Hyperlink"/>
            <w:noProof/>
            <w:rtl/>
          </w:rPr>
          <w:fldChar w:fldCharType="end"/>
        </w:r>
      </w:hyperlink>
    </w:p>
    <w:p w:rsidR="00E75436" w:rsidRDefault="00681A7C" w:rsidP="00E75436">
      <w:pPr>
        <w:pStyle w:val="TOC2"/>
        <w:rPr>
          <w:rFonts w:asciiTheme="minorHAnsi" w:eastAsiaTheme="minorEastAsia" w:hAnsiTheme="minorHAnsi" w:cstheme="minorBidi"/>
          <w:noProof/>
          <w:sz w:val="22"/>
          <w:szCs w:val="22"/>
          <w:rtl/>
          <w:lang w:eastAsia="en-US"/>
        </w:rPr>
      </w:pPr>
      <w:hyperlink w:anchor="_Toc401667943" w:history="1">
        <w:r w:rsidR="00E75436" w:rsidRPr="00826098">
          <w:rPr>
            <w:rStyle w:val="Hyperlink"/>
            <w:noProof/>
          </w:rPr>
          <w:t>3. Technology</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Toc401667943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11</w:t>
        </w:r>
        <w:r w:rsidR="00E75436">
          <w:rPr>
            <w:rStyle w:val="Hyperlink"/>
            <w:noProof/>
            <w:rtl/>
          </w:rPr>
          <w:fldChar w:fldCharType="end"/>
        </w:r>
      </w:hyperlink>
    </w:p>
    <w:p w:rsidR="00E75436" w:rsidRDefault="00681A7C" w:rsidP="00E75436">
      <w:pPr>
        <w:pStyle w:val="TOC2"/>
        <w:rPr>
          <w:rFonts w:asciiTheme="minorHAnsi" w:eastAsiaTheme="minorEastAsia" w:hAnsiTheme="minorHAnsi" w:cstheme="minorBidi"/>
          <w:noProof/>
          <w:sz w:val="22"/>
          <w:szCs w:val="22"/>
          <w:rtl/>
          <w:lang w:eastAsia="en-US"/>
        </w:rPr>
      </w:pPr>
      <w:hyperlink w:anchor="_Toc401667944" w:history="1">
        <w:r w:rsidR="00E75436" w:rsidRPr="00826098">
          <w:rPr>
            <w:rStyle w:val="Hyperlink"/>
            <w:noProof/>
          </w:rPr>
          <w:t>4. Implementation</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Toc401667944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11</w:t>
        </w:r>
        <w:r w:rsidR="00E75436">
          <w:rPr>
            <w:rStyle w:val="Hyperlink"/>
            <w:noProof/>
            <w:rtl/>
          </w:rPr>
          <w:fldChar w:fldCharType="end"/>
        </w:r>
      </w:hyperlink>
    </w:p>
    <w:p w:rsidR="00E75436" w:rsidRDefault="00681A7C" w:rsidP="00E75436">
      <w:pPr>
        <w:pStyle w:val="TOC2"/>
        <w:rPr>
          <w:rFonts w:asciiTheme="minorHAnsi" w:eastAsiaTheme="minorEastAsia" w:hAnsiTheme="minorHAnsi" w:cstheme="minorBidi"/>
          <w:noProof/>
          <w:sz w:val="22"/>
          <w:szCs w:val="22"/>
          <w:rtl/>
          <w:lang w:eastAsia="en-US"/>
        </w:rPr>
      </w:pPr>
      <w:hyperlink w:anchor="_Toc401667945" w:history="1">
        <w:r w:rsidR="00E75436" w:rsidRPr="00826098">
          <w:rPr>
            <w:rStyle w:val="Hyperlink"/>
            <w:noProof/>
          </w:rPr>
          <w:t>5. Cost</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Toc401667945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11</w:t>
        </w:r>
        <w:r w:rsidR="00E75436">
          <w:rPr>
            <w:rStyle w:val="Hyperlink"/>
            <w:noProof/>
            <w:rtl/>
          </w:rPr>
          <w:fldChar w:fldCharType="end"/>
        </w:r>
      </w:hyperlink>
    </w:p>
    <w:p w:rsidR="00E75436" w:rsidRDefault="00681A7C" w:rsidP="00E75436">
      <w:pPr>
        <w:pStyle w:val="TOC1"/>
        <w:rPr>
          <w:rFonts w:asciiTheme="minorHAnsi" w:eastAsiaTheme="minorEastAsia" w:hAnsiTheme="minorHAnsi" w:cstheme="minorBidi"/>
          <w:b w:val="0"/>
          <w:bCs w:val="0"/>
          <w:noProof/>
          <w:sz w:val="22"/>
          <w:szCs w:val="22"/>
          <w:rtl/>
          <w:lang w:eastAsia="en-US"/>
        </w:rPr>
      </w:pPr>
      <w:hyperlink w:anchor="_Toc401667946" w:history="1">
        <w:r w:rsidR="00E75436" w:rsidRPr="00826098">
          <w:rPr>
            <w:rStyle w:val="Hyperlink"/>
            <w:noProof/>
          </w:rPr>
          <w:t>Additional Documents</w:t>
        </w:r>
        <w:r w:rsidR="00E75436">
          <w:rPr>
            <w:noProof/>
            <w:webHidden/>
            <w:rtl/>
          </w:rPr>
          <w:tab/>
        </w:r>
        <w:r w:rsidR="00E75436">
          <w:rPr>
            <w:rStyle w:val="Hyperlink"/>
            <w:noProof/>
            <w:rtl/>
          </w:rPr>
          <w:fldChar w:fldCharType="begin"/>
        </w:r>
        <w:r w:rsidR="00E75436">
          <w:rPr>
            <w:noProof/>
            <w:webHidden/>
            <w:rtl/>
          </w:rPr>
          <w:instrText xml:space="preserve"> </w:instrText>
        </w:r>
        <w:r w:rsidR="00E75436">
          <w:rPr>
            <w:noProof/>
            <w:webHidden/>
          </w:rPr>
          <w:instrText>PAGEREF</w:instrText>
        </w:r>
        <w:r w:rsidR="00E75436">
          <w:rPr>
            <w:noProof/>
            <w:webHidden/>
            <w:rtl/>
          </w:rPr>
          <w:instrText xml:space="preserve"> _</w:instrText>
        </w:r>
        <w:r w:rsidR="00E75436">
          <w:rPr>
            <w:noProof/>
            <w:webHidden/>
          </w:rPr>
          <w:instrText>Toc401667946 \h</w:instrText>
        </w:r>
        <w:r w:rsidR="00E75436">
          <w:rPr>
            <w:noProof/>
            <w:webHidden/>
            <w:rtl/>
          </w:rPr>
          <w:instrText xml:space="preserve"> </w:instrText>
        </w:r>
        <w:r w:rsidR="00E75436">
          <w:rPr>
            <w:rStyle w:val="Hyperlink"/>
            <w:noProof/>
            <w:rtl/>
          </w:rPr>
        </w:r>
        <w:r w:rsidR="00E75436">
          <w:rPr>
            <w:rStyle w:val="Hyperlink"/>
            <w:noProof/>
            <w:rtl/>
          </w:rPr>
          <w:fldChar w:fldCharType="separate"/>
        </w:r>
        <w:r w:rsidR="00E75436">
          <w:rPr>
            <w:noProof/>
            <w:webHidden/>
            <w:rtl/>
          </w:rPr>
          <w:t>11</w:t>
        </w:r>
        <w:r w:rsidR="00E75436">
          <w:rPr>
            <w:rStyle w:val="Hyperlink"/>
            <w:noProof/>
            <w:rtl/>
          </w:rPr>
          <w:fldChar w:fldCharType="end"/>
        </w:r>
      </w:hyperlink>
    </w:p>
    <w:p w:rsidR="00E75436" w:rsidRDefault="00E75436" w:rsidP="00E75436">
      <w:pPr>
        <w:pStyle w:val="1"/>
        <w:pageBreakBefore/>
        <w:rPr>
          <w:lang w:eastAsia="en-US"/>
        </w:rPr>
      </w:pPr>
      <w:r>
        <w:rPr>
          <w:rFonts w:cs="Times New Roman"/>
          <w:smallCaps w:val="0"/>
          <w:noProof w:val="0"/>
          <w:sz w:val="24"/>
          <w:szCs w:val="24"/>
          <w:lang w:eastAsia="en-US"/>
        </w:rPr>
        <w:lastRenderedPageBreak/>
        <w:fldChar w:fldCharType="end"/>
      </w:r>
      <w:bookmarkStart w:id="4" w:name="_Toc401667921"/>
      <w:r>
        <w:rPr>
          <w:lang w:eastAsia="en-US"/>
        </w:rPr>
        <w:t>0. Administration</w:t>
      </w:r>
      <w:bookmarkEnd w:id="0"/>
      <w:bookmarkEnd w:id="1"/>
      <w:bookmarkEnd w:id="2"/>
      <w:bookmarkEnd w:id="3"/>
      <w:bookmarkEnd w:id="4"/>
    </w:p>
    <w:p w:rsidR="00E75436" w:rsidRDefault="00E75436" w:rsidP="00E75436">
      <w:pPr>
        <w:pStyle w:val="2"/>
      </w:pPr>
      <w:bookmarkStart w:id="5" w:name="_Toc401667922"/>
      <w:r>
        <w:t>0.1</w:t>
      </w:r>
      <w:r>
        <w:tab/>
        <w:t>General</w:t>
      </w:r>
      <w:bookmarkEnd w:id="5"/>
    </w:p>
    <w:p w:rsidR="00E75436" w:rsidRDefault="00E75436" w:rsidP="00E75436">
      <w:pPr>
        <w:pStyle w:val="Para2"/>
      </w:pPr>
      <w:r>
        <w:t xml:space="preserve">&lt; full legal name of organization &gt; (hereafter, “&lt;organization&gt;”) invites analysis proposals for a computerized &lt;IT/infrastructure&gt; system dealing with &lt;matters that the system handles&gt; for the purpose of &lt;purpose of the system&gt;. </w:t>
      </w:r>
    </w:p>
    <w:p w:rsidR="00E75436" w:rsidRDefault="00E75436" w:rsidP="00E75436">
      <w:pPr>
        <w:pStyle w:val="Para2"/>
      </w:pPr>
      <w:r>
        <w:t>The proposed system-analysis consultant must meet the customary professional and ethical requirements for consultancy work in general and for the domestic and international IT profession in specific, as well as the specific requirements of this RFCon. The composition and submission of the proposal must comply with the version of MethodA that is current as of the date of this RFCon, and so must the eventual performance of the work.</w:t>
      </w:r>
    </w:p>
    <w:p w:rsidR="00E75436" w:rsidRDefault="00E75436" w:rsidP="00E75436">
      <w:pPr>
        <w:pStyle w:val="2"/>
      </w:pPr>
      <w:bookmarkStart w:id="6" w:name="_Toc401667923"/>
      <w:r>
        <w:t>0.2</w:t>
      </w:r>
      <w:r>
        <w:tab/>
        <w:t>Definitions</w:t>
      </w:r>
      <w:bookmarkEnd w:id="6"/>
    </w:p>
    <w:p w:rsidR="00E75436" w:rsidRDefault="00E75436" w:rsidP="00E75436">
      <w:pPr>
        <w:pStyle w:val="Para2"/>
      </w:pPr>
      <w:r>
        <w:t>The following are some essential terms for this RFCon:</w:t>
      </w:r>
    </w:p>
    <w:p w:rsidR="00E75436" w:rsidRDefault="00E75436" w:rsidP="00E75436">
      <w:pPr>
        <w:pStyle w:val="BulletList2"/>
      </w:pPr>
      <w:r>
        <w:t>_______________</w:t>
      </w:r>
    </w:p>
    <w:p w:rsidR="00E75436" w:rsidRDefault="00E75436" w:rsidP="00E75436">
      <w:pPr>
        <w:pStyle w:val="Para2"/>
        <w:rPr>
          <w:rtl/>
        </w:rPr>
      </w:pPr>
      <w:r>
        <w:t>For more definitions, see the accompanying Initiation document.</w:t>
      </w:r>
    </w:p>
    <w:p w:rsidR="00E75436" w:rsidRDefault="00E75436" w:rsidP="00E75436">
      <w:pPr>
        <w:pStyle w:val="2"/>
      </w:pPr>
      <w:bookmarkStart w:id="7" w:name="_Toc401667924"/>
      <w:r>
        <w:t>0.3</w:t>
      </w:r>
      <w:r>
        <w:tab/>
        <w:t>Work Procedures and Tools</w:t>
      </w:r>
      <w:bookmarkEnd w:id="7"/>
    </w:p>
    <w:p w:rsidR="00E75436" w:rsidRDefault="00E75436" w:rsidP="00E75436">
      <w:pPr>
        <w:pStyle w:val="3"/>
      </w:pPr>
      <w:r>
        <w:t>0.3.1</w:t>
      </w:r>
      <w:r>
        <w:tab/>
        <w:t>Receiving the full RFCon</w:t>
      </w:r>
    </w:p>
    <w:p w:rsidR="00E75436" w:rsidRDefault="00E75436" w:rsidP="00E75436">
      <w:pPr>
        <w:pStyle w:val="Para2"/>
      </w:pPr>
      <w:r>
        <w:t>For the full RFCon, apply to the following address:</w:t>
      </w:r>
    </w:p>
    <w:tbl>
      <w:tblPr>
        <w:tblW w:w="8278" w:type="dxa"/>
        <w:tblInd w:w="794" w:type="dxa"/>
        <w:tblLook w:val="0000" w:firstRow="0" w:lastRow="0" w:firstColumn="0" w:lastColumn="0" w:noHBand="0" w:noVBand="0"/>
      </w:tblPr>
      <w:tblGrid>
        <w:gridCol w:w="2183"/>
        <w:gridCol w:w="6095"/>
      </w:tblGrid>
      <w:tr w:rsidR="00E75436" w:rsidTr="00FB4021">
        <w:tc>
          <w:tcPr>
            <w:tcW w:w="2183" w:type="dxa"/>
          </w:tcPr>
          <w:p w:rsidR="00E75436" w:rsidRDefault="00E75436" w:rsidP="00FB4021">
            <w:pPr>
              <w:pStyle w:val="TableTitle"/>
            </w:pPr>
            <w:r>
              <w:t>Name:</w:t>
            </w:r>
          </w:p>
        </w:tc>
        <w:tc>
          <w:tcPr>
            <w:tcW w:w="6095" w:type="dxa"/>
            <w:tcBorders>
              <w:bottom w:val="single" w:sz="4" w:space="0" w:color="auto"/>
            </w:tcBorders>
          </w:tcPr>
          <w:p w:rsidR="00E75436" w:rsidRDefault="00E75436" w:rsidP="00FB4021">
            <w:pPr>
              <w:pStyle w:val="Normal2"/>
              <w:ind w:left="0"/>
            </w:pPr>
          </w:p>
        </w:tc>
      </w:tr>
      <w:tr w:rsidR="00E75436" w:rsidTr="00FB4021">
        <w:tc>
          <w:tcPr>
            <w:tcW w:w="2183" w:type="dxa"/>
          </w:tcPr>
          <w:p w:rsidR="00E75436" w:rsidRDefault="00E75436" w:rsidP="00FB4021">
            <w:pPr>
              <w:pStyle w:val="TableTitle"/>
            </w:pPr>
            <w:r>
              <w:t>Phone:</w:t>
            </w:r>
          </w:p>
        </w:tc>
        <w:tc>
          <w:tcPr>
            <w:tcW w:w="6095" w:type="dxa"/>
            <w:tcBorders>
              <w:top w:val="single" w:sz="4" w:space="0" w:color="auto"/>
              <w:bottom w:val="single" w:sz="4" w:space="0" w:color="auto"/>
            </w:tcBorders>
          </w:tcPr>
          <w:p w:rsidR="00E75436" w:rsidRDefault="00E75436" w:rsidP="00FB4021">
            <w:pPr>
              <w:pStyle w:val="Normal2"/>
              <w:ind w:left="0"/>
            </w:pPr>
          </w:p>
        </w:tc>
      </w:tr>
      <w:tr w:rsidR="00E75436" w:rsidTr="00FB4021">
        <w:tc>
          <w:tcPr>
            <w:tcW w:w="2183" w:type="dxa"/>
          </w:tcPr>
          <w:p w:rsidR="00E75436" w:rsidRDefault="00E75436" w:rsidP="00FB4021">
            <w:pPr>
              <w:pStyle w:val="TableTitle"/>
            </w:pPr>
            <w:r>
              <w:t>Fax:</w:t>
            </w:r>
          </w:p>
        </w:tc>
        <w:tc>
          <w:tcPr>
            <w:tcW w:w="6095" w:type="dxa"/>
            <w:tcBorders>
              <w:top w:val="single" w:sz="4" w:space="0" w:color="auto"/>
              <w:bottom w:val="single" w:sz="4" w:space="0" w:color="auto"/>
            </w:tcBorders>
          </w:tcPr>
          <w:p w:rsidR="00E75436" w:rsidRDefault="00E75436" w:rsidP="00FB4021">
            <w:pPr>
              <w:pStyle w:val="Normal2"/>
              <w:ind w:left="0"/>
            </w:pPr>
          </w:p>
        </w:tc>
      </w:tr>
      <w:tr w:rsidR="00E75436" w:rsidTr="00FB4021">
        <w:tc>
          <w:tcPr>
            <w:tcW w:w="2183" w:type="dxa"/>
          </w:tcPr>
          <w:p w:rsidR="00E75436" w:rsidRDefault="00E75436" w:rsidP="00FB4021">
            <w:pPr>
              <w:pStyle w:val="TableTitle"/>
            </w:pPr>
            <w:r>
              <w:t>Postal address:</w:t>
            </w:r>
          </w:p>
        </w:tc>
        <w:tc>
          <w:tcPr>
            <w:tcW w:w="6095" w:type="dxa"/>
            <w:tcBorders>
              <w:top w:val="single" w:sz="4" w:space="0" w:color="auto"/>
              <w:bottom w:val="single" w:sz="4" w:space="0" w:color="auto"/>
            </w:tcBorders>
          </w:tcPr>
          <w:p w:rsidR="00E75436" w:rsidRDefault="00E75436" w:rsidP="00FB4021">
            <w:pPr>
              <w:pStyle w:val="Normal2"/>
              <w:ind w:left="0"/>
            </w:pPr>
          </w:p>
        </w:tc>
      </w:tr>
      <w:tr w:rsidR="00E75436" w:rsidTr="00FB4021">
        <w:tc>
          <w:tcPr>
            <w:tcW w:w="2183" w:type="dxa"/>
          </w:tcPr>
          <w:p w:rsidR="00E75436" w:rsidRDefault="00E75436" w:rsidP="00FB4021">
            <w:pPr>
              <w:pStyle w:val="TableTitle"/>
            </w:pPr>
            <w:r>
              <w:t>E-mail:</w:t>
            </w:r>
          </w:p>
        </w:tc>
        <w:tc>
          <w:tcPr>
            <w:tcW w:w="6095" w:type="dxa"/>
            <w:tcBorders>
              <w:top w:val="single" w:sz="4" w:space="0" w:color="auto"/>
              <w:bottom w:val="single" w:sz="4" w:space="0" w:color="auto"/>
            </w:tcBorders>
          </w:tcPr>
          <w:p w:rsidR="00E75436" w:rsidRDefault="00E75436" w:rsidP="00FB4021">
            <w:pPr>
              <w:pStyle w:val="Normal2"/>
              <w:ind w:left="0"/>
            </w:pPr>
          </w:p>
        </w:tc>
      </w:tr>
    </w:tbl>
    <w:p w:rsidR="00E75436" w:rsidRDefault="00E75436" w:rsidP="00E75436">
      <w:pPr>
        <w:pStyle w:val="3"/>
      </w:pPr>
      <w:r>
        <w:t>0.3.2</w:t>
      </w:r>
      <w:r>
        <w:tab/>
        <w:t>Liaison officer</w:t>
      </w:r>
    </w:p>
    <w:p w:rsidR="00E75436" w:rsidRDefault="00E75436" w:rsidP="00E75436">
      <w:pPr>
        <w:pStyle w:val="Para2"/>
      </w:pPr>
      <w:r>
        <w:t>The contact person authorized by &lt;organization&gt; to discuss all aspects of this RFCon is:</w:t>
      </w:r>
    </w:p>
    <w:tbl>
      <w:tblPr>
        <w:tblW w:w="8278" w:type="dxa"/>
        <w:tblInd w:w="794" w:type="dxa"/>
        <w:tblLook w:val="0000" w:firstRow="0" w:lastRow="0" w:firstColumn="0" w:lastColumn="0" w:noHBand="0" w:noVBand="0"/>
      </w:tblPr>
      <w:tblGrid>
        <w:gridCol w:w="2183"/>
        <w:gridCol w:w="6095"/>
      </w:tblGrid>
      <w:tr w:rsidR="00E75436" w:rsidTr="00FB4021">
        <w:tc>
          <w:tcPr>
            <w:tcW w:w="2183" w:type="dxa"/>
          </w:tcPr>
          <w:p w:rsidR="00E75436" w:rsidRDefault="00E75436" w:rsidP="00FB4021">
            <w:pPr>
              <w:pStyle w:val="TableTitle"/>
            </w:pPr>
            <w:r>
              <w:t>Name:</w:t>
            </w:r>
          </w:p>
        </w:tc>
        <w:tc>
          <w:tcPr>
            <w:tcW w:w="6095" w:type="dxa"/>
            <w:tcBorders>
              <w:bottom w:val="single" w:sz="4" w:space="0" w:color="auto"/>
            </w:tcBorders>
          </w:tcPr>
          <w:p w:rsidR="00E75436" w:rsidRDefault="00E75436" w:rsidP="00FB4021">
            <w:pPr>
              <w:pStyle w:val="Normal2"/>
              <w:ind w:left="0"/>
            </w:pPr>
          </w:p>
        </w:tc>
      </w:tr>
      <w:tr w:rsidR="00E75436" w:rsidTr="00FB4021">
        <w:tc>
          <w:tcPr>
            <w:tcW w:w="2183" w:type="dxa"/>
          </w:tcPr>
          <w:p w:rsidR="00E75436" w:rsidRDefault="00E75436" w:rsidP="00FB4021">
            <w:pPr>
              <w:pStyle w:val="TableTitle"/>
            </w:pPr>
            <w:r>
              <w:t>Phone:</w:t>
            </w:r>
          </w:p>
        </w:tc>
        <w:tc>
          <w:tcPr>
            <w:tcW w:w="6095" w:type="dxa"/>
            <w:tcBorders>
              <w:top w:val="single" w:sz="4" w:space="0" w:color="auto"/>
              <w:bottom w:val="single" w:sz="4" w:space="0" w:color="auto"/>
            </w:tcBorders>
          </w:tcPr>
          <w:p w:rsidR="00E75436" w:rsidRDefault="00E75436" w:rsidP="00FB4021">
            <w:pPr>
              <w:pStyle w:val="Normal2"/>
              <w:ind w:left="0"/>
            </w:pPr>
          </w:p>
        </w:tc>
      </w:tr>
      <w:tr w:rsidR="00E75436" w:rsidTr="00FB4021">
        <w:tc>
          <w:tcPr>
            <w:tcW w:w="2183" w:type="dxa"/>
          </w:tcPr>
          <w:p w:rsidR="00E75436" w:rsidRDefault="00E75436" w:rsidP="00FB4021">
            <w:pPr>
              <w:pStyle w:val="TableTitle"/>
            </w:pPr>
            <w:r>
              <w:t>Fax:</w:t>
            </w:r>
          </w:p>
        </w:tc>
        <w:tc>
          <w:tcPr>
            <w:tcW w:w="6095" w:type="dxa"/>
            <w:tcBorders>
              <w:top w:val="single" w:sz="4" w:space="0" w:color="auto"/>
              <w:bottom w:val="single" w:sz="4" w:space="0" w:color="auto"/>
            </w:tcBorders>
          </w:tcPr>
          <w:p w:rsidR="00E75436" w:rsidRDefault="00E75436" w:rsidP="00FB4021">
            <w:pPr>
              <w:pStyle w:val="Normal2"/>
              <w:ind w:left="0"/>
            </w:pPr>
          </w:p>
        </w:tc>
      </w:tr>
      <w:tr w:rsidR="00E75436" w:rsidTr="00FB4021">
        <w:tc>
          <w:tcPr>
            <w:tcW w:w="2183" w:type="dxa"/>
          </w:tcPr>
          <w:p w:rsidR="00E75436" w:rsidRDefault="00E75436" w:rsidP="00FB4021">
            <w:pPr>
              <w:pStyle w:val="TableTitle"/>
            </w:pPr>
            <w:r>
              <w:t>Postal address:</w:t>
            </w:r>
          </w:p>
        </w:tc>
        <w:tc>
          <w:tcPr>
            <w:tcW w:w="6095" w:type="dxa"/>
            <w:tcBorders>
              <w:top w:val="single" w:sz="4" w:space="0" w:color="auto"/>
              <w:bottom w:val="single" w:sz="4" w:space="0" w:color="auto"/>
            </w:tcBorders>
          </w:tcPr>
          <w:p w:rsidR="00E75436" w:rsidRDefault="00E75436" w:rsidP="00FB4021">
            <w:pPr>
              <w:pStyle w:val="Normal2"/>
              <w:ind w:left="0"/>
            </w:pPr>
          </w:p>
        </w:tc>
      </w:tr>
      <w:tr w:rsidR="00E75436" w:rsidTr="00FB4021">
        <w:tc>
          <w:tcPr>
            <w:tcW w:w="2183" w:type="dxa"/>
          </w:tcPr>
          <w:p w:rsidR="00E75436" w:rsidRDefault="00E75436" w:rsidP="00FB4021">
            <w:pPr>
              <w:pStyle w:val="TableTitle"/>
            </w:pPr>
            <w:r>
              <w:t>E-mail:</w:t>
            </w:r>
          </w:p>
        </w:tc>
        <w:tc>
          <w:tcPr>
            <w:tcW w:w="6095" w:type="dxa"/>
            <w:tcBorders>
              <w:top w:val="single" w:sz="4" w:space="0" w:color="auto"/>
              <w:bottom w:val="single" w:sz="4" w:space="0" w:color="auto"/>
            </w:tcBorders>
          </w:tcPr>
          <w:p w:rsidR="00E75436" w:rsidRDefault="00E75436" w:rsidP="00FB4021">
            <w:pPr>
              <w:pStyle w:val="Normal2"/>
              <w:ind w:left="0"/>
            </w:pPr>
          </w:p>
        </w:tc>
      </w:tr>
    </w:tbl>
    <w:p w:rsidR="00E75436" w:rsidRDefault="00E75436" w:rsidP="00E75436">
      <w:pPr>
        <w:pStyle w:val="Para2"/>
      </w:pPr>
      <w:r>
        <w:t>All communications regarding this RFCon should be sent to the above address only, in writing and in accordance with Sections 0.3.3 and 0.3.4 below.</w:t>
      </w:r>
    </w:p>
    <w:p w:rsidR="00E75436" w:rsidRDefault="00E75436" w:rsidP="00E75436">
      <w:pPr>
        <w:pStyle w:val="3"/>
      </w:pPr>
      <w:r>
        <w:t>0.3.3</w:t>
      </w:r>
      <w:r>
        <w:tab/>
        <w:t>Procedure for questions and clarifications</w:t>
      </w:r>
    </w:p>
    <w:p w:rsidR="00E75436" w:rsidRDefault="00E75436" w:rsidP="00E75436">
      <w:pPr>
        <w:pStyle w:val="Para2"/>
      </w:pPr>
      <w:r>
        <w:lastRenderedPageBreak/>
        <w:t>Following are the procedures for questions from bidders in advance of (or instead of) the bidders’ meeting, and for answers from &lt;organization&gt;.</w:t>
      </w:r>
    </w:p>
    <w:p w:rsidR="00E75436" w:rsidRDefault="00E75436" w:rsidP="00E75436">
      <w:pPr>
        <w:pStyle w:val="AlphaList2"/>
        <w:ind w:right="1191"/>
        <w:rPr>
          <w:lang w:eastAsia="en-US"/>
        </w:rPr>
      </w:pPr>
      <w:r>
        <w:rPr>
          <w:lang w:eastAsia="en-US"/>
        </w:rPr>
        <w:t xml:space="preserve">The bidders are to submit their questions in writing to the address in Section 0.3.2 above by </w:t>
      </w:r>
      <w:r>
        <w:t>&lt;</w:t>
      </w:r>
      <w:r>
        <w:rPr>
          <w:lang w:eastAsia="en-US"/>
        </w:rPr>
        <w:t>date&gt;.</w:t>
      </w:r>
    </w:p>
    <w:p w:rsidR="00E75436" w:rsidRDefault="00E75436" w:rsidP="00E75436">
      <w:pPr>
        <w:pStyle w:val="AlphaList2"/>
        <w:ind w:right="1191"/>
        <w:rPr>
          <w:lang w:eastAsia="en-US"/>
        </w:rPr>
      </w:pPr>
      <w:r>
        <w:rPr>
          <w:lang w:eastAsia="en-US"/>
        </w:rPr>
        <w:t xml:space="preserve">To questions submitted according to item “a” above, &lt;organization&gt; will provide answers at the bidders’ meeting </w:t>
      </w:r>
      <w:r>
        <w:rPr>
          <w:b/>
          <w:bCs/>
          <w:lang w:eastAsia="en-US"/>
        </w:rPr>
        <w:t>only</w:t>
      </w:r>
      <w:r>
        <w:rPr>
          <w:lang w:eastAsia="en-US"/>
        </w:rPr>
        <w:t>; or if there is no bidders’ meeting, in writing by &lt;date&gt;.</w:t>
      </w:r>
    </w:p>
    <w:p w:rsidR="00E75436" w:rsidRDefault="00E75436" w:rsidP="00E75436">
      <w:pPr>
        <w:pStyle w:val="AlphaList2"/>
        <w:ind w:right="1191"/>
        <w:rPr>
          <w:lang w:eastAsia="en-US"/>
        </w:rPr>
      </w:pPr>
      <w:r>
        <w:rPr>
          <w:lang w:eastAsia="en-US"/>
        </w:rPr>
        <w:t>The minutes of the bidders’ meeting, including answers to all the questions, will be sent, as defined in section 0.3.1, to all the vendors who purchased or received the technical part of the RFCon.</w:t>
      </w:r>
    </w:p>
    <w:p w:rsidR="00E75436" w:rsidRDefault="00E75436" w:rsidP="00E75436">
      <w:pPr>
        <w:pStyle w:val="3"/>
      </w:pPr>
      <w:r>
        <w:t>0.3.4</w:t>
      </w:r>
      <w:r>
        <w:tab/>
        <w:t>Bidders’ meeting</w:t>
      </w:r>
    </w:p>
    <w:p w:rsidR="00E75436" w:rsidRDefault="00E75436" w:rsidP="00E75436">
      <w:pPr>
        <w:pStyle w:val="Para2"/>
      </w:pPr>
      <w:r>
        <w:rPr>
          <w:rFonts w:hint="cs"/>
        </w:rPr>
        <w:t xml:space="preserve">A </w:t>
      </w:r>
      <w:r>
        <w:t>bidders’ meeting, answering questions and providing clarifications, will be held at &lt;location&gt; on &lt;date&gt; at &lt;time&gt;. Attendance at the meeting is &lt;compulsory/optional&gt;. Answers and clarifications will be available only at this meeting.</w:t>
      </w:r>
    </w:p>
    <w:p w:rsidR="00E75436" w:rsidRDefault="00E75436" w:rsidP="00E75436">
      <w:pPr>
        <w:pStyle w:val="Para2"/>
        <w:rPr>
          <w:rtl/>
        </w:rPr>
      </w:pPr>
      <w:r>
        <w:t>There will be no bidders’ meeting. All questions and clarifications will be handled according to section 0.3.3.</w:t>
      </w:r>
    </w:p>
    <w:p w:rsidR="00E75436" w:rsidRDefault="00E75436" w:rsidP="00E75436">
      <w:pPr>
        <w:pStyle w:val="3"/>
      </w:pPr>
      <w:r>
        <w:t>0.3.5</w:t>
      </w:r>
      <w:r>
        <w:tab/>
        <w:t>Submission of proposals</w:t>
      </w:r>
    </w:p>
    <w:p w:rsidR="00E75436" w:rsidRDefault="00E75436" w:rsidP="00E75436">
      <w:pPr>
        <w:pStyle w:val="Para2"/>
      </w:pPr>
      <w:r>
        <w:t>Submit your proposal in a sealed envelope at &lt;location&gt;, by &lt;date/time&gt;. In return, you will receive an acknowledgement of proposal. Be sure to keep your acknowledgement.</w:t>
      </w:r>
    </w:p>
    <w:p w:rsidR="00E75436" w:rsidRDefault="00E75436" w:rsidP="00E75436">
      <w:pPr>
        <w:pStyle w:val="2"/>
      </w:pPr>
      <w:bookmarkStart w:id="8" w:name="_Toc401667925"/>
      <w:r>
        <w:t>0.4</w:t>
      </w:r>
      <w:r>
        <w:tab/>
        <w:t>The RFCon</w:t>
      </w:r>
      <w:bookmarkEnd w:id="8"/>
    </w:p>
    <w:p w:rsidR="00E75436" w:rsidRDefault="00E75436" w:rsidP="00E75436">
      <w:pPr>
        <w:pStyle w:val="3"/>
      </w:pPr>
      <w:r>
        <w:t>0.4.1</w:t>
      </w:r>
      <w:r>
        <w:tab/>
        <w:t>Content of the RFCon</w:t>
      </w:r>
    </w:p>
    <w:p w:rsidR="00E75436" w:rsidRDefault="00E75436" w:rsidP="00E75436">
      <w:pPr>
        <w:pStyle w:val="Para2"/>
      </w:pPr>
      <w:r>
        <w:t>This RFCon contains —</w:t>
      </w:r>
    </w:p>
    <w:p w:rsidR="00E75436" w:rsidRDefault="00E75436" w:rsidP="00E75436">
      <w:pPr>
        <w:pStyle w:val="AlphaList2"/>
        <w:numPr>
          <w:ilvl w:val="0"/>
          <w:numId w:val="34"/>
        </w:numPr>
      </w:pPr>
      <w:r>
        <w:t>This administrative part numbered Section 0, pages &lt;start&gt; through &lt;end&gt;.</w:t>
      </w:r>
    </w:p>
    <w:p w:rsidR="00E75436" w:rsidRDefault="00E75436" w:rsidP="00E75436">
      <w:pPr>
        <w:pStyle w:val="AlphaList2"/>
        <w:numPr>
          <w:ilvl w:val="0"/>
          <w:numId w:val="34"/>
        </w:numPr>
      </w:pPr>
      <w:r>
        <w:t>The Initiation document numbered Section 1 through Section 5, pages &lt;start&gt; through &lt;end&gt;.</w:t>
      </w:r>
    </w:p>
    <w:p w:rsidR="00E75436" w:rsidRDefault="00E75436" w:rsidP="00E75436">
      <w:pPr>
        <w:pStyle w:val="AlphaList2"/>
        <w:numPr>
          <w:ilvl w:val="0"/>
          <w:numId w:val="34"/>
        </w:numPr>
      </w:pPr>
      <w:r>
        <w:t>&lt; further material &gt;</w:t>
      </w:r>
    </w:p>
    <w:p w:rsidR="00E75436" w:rsidRDefault="00E75436" w:rsidP="00E75436">
      <w:pPr>
        <w:pStyle w:val="Para2"/>
      </w:pPr>
      <w:r>
        <w:t>Responses to the above content must conform to the instructions in section 0.5 below.</w:t>
      </w:r>
    </w:p>
    <w:p w:rsidR="00E75436" w:rsidRDefault="00E75436" w:rsidP="00E75436">
      <w:pPr>
        <w:pStyle w:val="3"/>
      </w:pPr>
      <w:r>
        <w:t>0.4.2</w:t>
      </w:r>
      <w:r>
        <w:tab/>
        <w:t>Classification of the RFCon Components</w:t>
      </w:r>
    </w:p>
    <w:p w:rsidR="00E75436" w:rsidRDefault="00E75436" w:rsidP="00E75436">
      <w:pPr>
        <w:pStyle w:val="Para2"/>
      </w:pPr>
      <w:r>
        <w:t>The components of the RFCon have been given standard MethodA classifications</w:t>
      </w:r>
      <w:r>
        <w:rPr>
          <w:rtl/>
        </w:rPr>
        <w:t>:</w:t>
      </w:r>
    </w:p>
    <w:tbl>
      <w:tblPr>
        <w:tblW w:w="8278" w:type="dxa"/>
        <w:tblInd w:w="794" w:type="dxa"/>
        <w:tblLook w:val="0000" w:firstRow="0" w:lastRow="0" w:firstColumn="0" w:lastColumn="0" w:noHBand="0" w:noVBand="0"/>
      </w:tblPr>
      <w:tblGrid>
        <w:gridCol w:w="1942"/>
        <w:gridCol w:w="6336"/>
      </w:tblGrid>
      <w:tr w:rsidR="00E75436" w:rsidTr="00FB4021">
        <w:tc>
          <w:tcPr>
            <w:tcW w:w="1979" w:type="dxa"/>
          </w:tcPr>
          <w:p w:rsidR="00E75436" w:rsidRDefault="00E75436" w:rsidP="00FB4021">
            <w:pPr>
              <w:pStyle w:val="TableTitle"/>
              <w:rPr>
                <w:rtl/>
              </w:rPr>
            </w:pPr>
            <w:r>
              <w:t>Information (I)</w:t>
            </w:r>
          </w:p>
        </w:tc>
        <w:tc>
          <w:tcPr>
            <w:tcW w:w="6696" w:type="dxa"/>
          </w:tcPr>
          <w:p w:rsidR="00E75436" w:rsidRDefault="00E75436" w:rsidP="00FB4021">
            <w:pPr>
              <w:pStyle w:val="TableText"/>
              <w:rPr>
                <w:rtl/>
              </w:rPr>
            </w:pPr>
            <w:r>
              <w:t xml:space="preserve">A component included for information purposes only. The bidder is expected to attest to having read, having understood, and (if there is any question of acceptance or nonacceptance) accepting. Any remarks or reservations by the bidder must be included in the response. The bidder may add further information, but only if brief. </w:t>
            </w:r>
          </w:p>
        </w:tc>
      </w:tr>
      <w:tr w:rsidR="00E75436" w:rsidTr="00FB4021">
        <w:tc>
          <w:tcPr>
            <w:tcW w:w="1979" w:type="dxa"/>
          </w:tcPr>
          <w:p w:rsidR="00E75436" w:rsidRDefault="00E75436" w:rsidP="00FB4021">
            <w:pPr>
              <w:pStyle w:val="TableTitle"/>
              <w:rPr>
                <w:rtl/>
              </w:rPr>
            </w:pPr>
            <w:r>
              <w:t>General (G)</w:t>
            </w:r>
          </w:p>
        </w:tc>
        <w:tc>
          <w:tcPr>
            <w:tcW w:w="6696" w:type="dxa"/>
          </w:tcPr>
          <w:p w:rsidR="00E75436" w:rsidRDefault="00E75436" w:rsidP="00FB4021">
            <w:pPr>
              <w:pStyle w:val="TableText"/>
              <w:rPr>
                <w:rtl/>
              </w:rPr>
            </w:pPr>
            <w:r>
              <w:t xml:space="preserve">A component that can be handled with a general answer in a relatively free format. This is an “open” section in the RFCon — a section where creative suggestions and solutions may be introduced. Nonetheless, the requirement must be clearly addressed, the principal features of the proposed </w:t>
            </w:r>
            <w:r>
              <w:lastRenderedPageBreak/>
              <w:t>solution must be emphasized, and it must be clear what exactly is being offered.</w:t>
            </w:r>
          </w:p>
        </w:tc>
      </w:tr>
      <w:tr w:rsidR="00E75436" w:rsidTr="00FB4021">
        <w:tc>
          <w:tcPr>
            <w:tcW w:w="1979" w:type="dxa"/>
          </w:tcPr>
          <w:p w:rsidR="00E75436" w:rsidRDefault="00E75436" w:rsidP="00FB4021">
            <w:pPr>
              <w:pStyle w:val="TableTitle"/>
              <w:rPr>
                <w:rtl/>
              </w:rPr>
            </w:pPr>
            <w:r>
              <w:lastRenderedPageBreak/>
              <w:t>Specific (S)</w:t>
            </w:r>
          </w:p>
        </w:tc>
        <w:tc>
          <w:tcPr>
            <w:tcW w:w="6696" w:type="dxa"/>
          </w:tcPr>
          <w:p w:rsidR="00E75436" w:rsidRDefault="00E75436" w:rsidP="00FB4021">
            <w:pPr>
              <w:pStyle w:val="TableText"/>
              <w:rPr>
                <w:rtl/>
              </w:rPr>
            </w:pPr>
            <w:r>
              <w:t>A component that requires an exact and detailed response, in a precise format as required by the RFCon (for example, by completing a table) or in the form of a particular activity (a demonstration, for example).</w:t>
            </w:r>
          </w:p>
        </w:tc>
      </w:tr>
      <w:tr w:rsidR="00E75436" w:rsidTr="00FB4021">
        <w:tc>
          <w:tcPr>
            <w:tcW w:w="1979" w:type="dxa"/>
          </w:tcPr>
          <w:p w:rsidR="00E75436" w:rsidRDefault="00E75436" w:rsidP="00FB4021">
            <w:pPr>
              <w:pStyle w:val="TableTitle"/>
              <w:rPr>
                <w:rtl/>
              </w:rPr>
            </w:pPr>
            <w:r>
              <w:t>Mandatory (M)</w:t>
            </w:r>
          </w:p>
        </w:tc>
        <w:tc>
          <w:tcPr>
            <w:tcW w:w="6696" w:type="dxa"/>
          </w:tcPr>
          <w:p w:rsidR="00E75436" w:rsidRDefault="00E75436" w:rsidP="00FB4021">
            <w:pPr>
              <w:pStyle w:val="TableText"/>
              <w:rPr>
                <w:rtl/>
              </w:rPr>
            </w:pPr>
            <w:r>
              <w:t>A Go/NoGo component. A missing answer, an inappropriate answer, an unclear answer, or an ambiguous answer for this component will peremptorily disqualify the proposal.</w:t>
            </w:r>
          </w:p>
        </w:tc>
      </w:tr>
      <w:tr w:rsidR="00E75436" w:rsidTr="00FB4021">
        <w:tc>
          <w:tcPr>
            <w:tcW w:w="1979" w:type="dxa"/>
          </w:tcPr>
          <w:p w:rsidR="00E75436" w:rsidRDefault="00E75436" w:rsidP="00FB4021">
            <w:pPr>
              <w:pStyle w:val="TableTitle"/>
              <w:rPr>
                <w:rtl/>
              </w:rPr>
            </w:pPr>
            <w:r>
              <w:t>Not Applicable (N)</w:t>
            </w:r>
          </w:p>
        </w:tc>
        <w:tc>
          <w:tcPr>
            <w:tcW w:w="6696" w:type="dxa"/>
          </w:tcPr>
          <w:p w:rsidR="00E75436" w:rsidRDefault="00E75436" w:rsidP="00FB4021">
            <w:pPr>
              <w:pStyle w:val="TableText"/>
              <w:rPr>
                <w:rtl/>
              </w:rPr>
            </w:pPr>
            <w:r>
              <w:t>A component intentionally omitted from the RFCon and not to be addressed. The purpose of this classification is to ensure the bidder that the omission is not a mistake.</w:t>
            </w:r>
          </w:p>
        </w:tc>
      </w:tr>
    </w:tbl>
    <w:p w:rsidR="00E75436" w:rsidRDefault="00E75436" w:rsidP="00E75436">
      <w:pPr>
        <w:pStyle w:val="Para2"/>
      </w:pPr>
      <w:r>
        <w:t>The classification of a component applies to all its subcomponents, unless otherwise stated for the subcomponent. In other words, the classification of any component is either the classification explicitly applied to it or, if no classification is explicitly applied to it, the classification of the component hierarchically above it.</w:t>
      </w:r>
    </w:p>
    <w:p w:rsidR="00E75436" w:rsidRDefault="00E75436" w:rsidP="00E75436">
      <w:pPr>
        <w:pStyle w:val="Para2"/>
        <w:rPr>
          <w:rtl/>
        </w:rPr>
      </w:pPr>
      <w:r>
        <w:t>For further explanation, see the RFP kit in the Life Cycle volume of MethodA.</w:t>
      </w:r>
    </w:p>
    <w:p w:rsidR="00E75436" w:rsidRDefault="00E75436" w:rsidP="00E75436">
      <w:pPr>
        <w:pStyle w:val="2"/>
      </w:pPr>
      <w:bookmarkStart w:id="9" w:name="_Toc401667926"/>
      <w:r>
        <w:t>0.5</w:t>
      </w:r>
      <w:r>
        <w:tab/>
        <w:t>The Proposal (The Bidder’s Response)</w:t>
      </w:r>
      <w:bookmarkEnd w:id="9"/>
    </w:p>
    <w:p w:rsidR="00E75436" w:rsidRDefault="00E75436" w:rsidP="00E75436">
      <w:pPr>
        <w:pStyle w:val="3"/>
      </w:pPr>
      <w:r>
        <w:t>0.5.1</w:t>
      </w:r>
      <w:r>
        <w:tab/>
        <w:t>Structure and general requirements</w:t>
      </w:r>
    </w:p>
    <w:p w:rsidR="00E75436" w:rsidRDefault="00E75436" w:rsidP="00E75436">
      <w:pPr>
        <w:pStyle w:val="Para2"/>
      </w:pPr>
      <w:r>
        <w:t xml:space="preserve">The proposal’s structure must match the RFCon’s structure, point for point. For example, section 0.1 of the proposal will consist of the response to section 0.1 of the RFCon, section 0.2 will respond to section 0.2, etc. </w:t>
      </w:r>
    </w:p>
    <w:p w:rsidR="00E75436" w:rsidRDefault="00E75436" w:rsidP="00E75436">
      <w:pPr>
        <w:pStyle w:val="FrameShadowed"/>
        <w:rPr>
          <w:lang w:eastAsia="en-US"/>
        </w:rPr>
      </w:pPr>
      <w:r>
        <w:rPr>
          <w:lang w:eastAsia="en-US"/>
        </w:rPr>
        <w:t>If a submitted proposal does not follow this structure, the proposal will be peremptorily rejected.</w:t>
      </w:r>
    </w:p>
    <w:p w:rsidR="00E75436" w:rsidRDefault="00E75436" w:rsidP="00E75436">
      <w:pPr>
        <w:pStyle w:val="Para2"/>
      </w:pPr>
      <w:r>
        <w:t>Responses are compulsory. It is compulsory to respond to every section, to match the structure within each section, and to match the detail within each section.</w:t>
      </w:r>
    </w:p>
    <w:p w:rsidR="00E75436" w:rsidRDefault="00E75436" w:rsidP="00E75436">
      <w:pPr>
        <w:pStyle w:val="Para2"/>
      </w:pPr>
      <w:r>
        <w:t>Submit the proposal in &lt;number&gt; copies.</w:t>
      </w:r>
    </w:p>
    <w:p w:rsidR="00E75436" w:rsidRDefault="00E75436" w:rsidP="00E75436">
      <w:pPr>
        <w:pStyle w:val="Para2"/>
        <w:rPr>
          <w:rtl/>
        </w:rPr>
      </w:pPr>
      <w:r>
        <w:t>No consultant may submit more than one proposal, and no consultant may be a participant in more than one proposal.</w:t>
      </w:r>
    </w:p>
    <w:p w:rsidR="00E75436" w:rsidRDefault="00E75436" w:rsidP="00E75436">
      <w:pPr>
        <w:pStyle w:val="3"/>
      </w:pPr>
      <w:r>
        <w:t>0.5.2</w:t>
      </w:r>
      <w:r>
        <w:tab/>
        <w:t>Responding to the Administration section</w:t>
      </w:r>
    </w:p>
    <w:p w:rsidR="00E75436" w:rsidRDefault="00E75436" w:rsidP="00E75436">
      <w:pPr>
        <w:pStyle w:val="Para2"/>
      </w:pPr>
      <w:r>
        <w:t>The first part of the proposal (that is, of the bidder’s response) must address the administrative part (which is this section, Section 0) of the RFCon. The proper response for each subcomponent is “Have read and understood” plus explicit acceptance, details, certifications, or future-based commitments as appropriate to the particular section.</w:t>
      </w:r>
    </w:p>
    <w:p w:rsidR="00E75436" w:rsidRDefault="00E75436" w:rsidP="00E75436">
      <w:pPr>
        <w:pStyle w:val="Para2"/>
      </w:pPr>
      <w:r>
        <w:t>Sections 0.4 and 0.5, for example, require only a “have read and understood” answer, whereas section 0.7 requires “have read, have understood, and accept,” section 0.6 requires attached certifications, etc. Note in particular sections 0.14, 0.15, 0.17 and 0.19, which will have central importance when the proposals of consultants are evaluated.</w:t>
      </w:r>
    </w:p>
    <w:p w:rsidR="00E75436" w:rsidRDefault="00E75436" w:rsidP="00E75436">
      <w:pPr>
        <w:pStyle w:val="3"/>
      </w:pPr>
      <w:r>
        <w:t>0.5.3</w:t>
      </w:r>
      <w:r>
        <w:tab/>
        <w:t>Responding to the Initiation document</w:t>
      </w:r>
    </w:p>
    <w:p w:rsidR="00E75436" w:rsidRDefault="00E75436" w:rsidP="00E75436">
      <w:pPr>
        <w:pStyle w:val="Para2"/>
      </w:pPr>
      <w:r>
        <w:t xml:space="preserve">In the second part of the proposal, you respond to the Initiation document. This is where &lt;organization&gt; looks to see how the consultant perceives and understands the system </w:t>
      </w:r>
      <w:r>
        <w:lastRenderedPageBreak/>
        <w:t>and what the consultant’s ideas are for developing the system’s content (Analysis document, prototype, etc.) – including any remarks concerning the Initiation document. As a rule, this is an “open” section of the response, with the Initiation document classified as a General component. But the response should not be overlong and should not attempt to begin system analysis!</w:t>
      </w:r>
    </w:p>
    <w:p w:rsidR="00E75436" w:rsidRDefault="00E75436" w:rsidP="00E75436">
      <w:pPr>
        <w:pStyle w:val="Para2"/>
      </w:pPr>
      <w:r>
        <w:t>The bidder is encouraged to invest thought particularly in responding to the following sections of the Initiation document:</w:t>
      </w:r>
    </w:p>
    <w:p w:rsidR="00E75436" w:rsidRDefault="00E75436" w:rsidP="00E75436">
      <w:pPr>
        <w:pStyle w:val="3"/>
      </w:pPr>
      <w:r>
        <w:t>0.5.4</w:t>
      </w:r>
      <w:r>
        <w:tab/>
        <w:t>Responding to additional documents</w:t>
      </w:r>
    </w:p>
    <w:p w:rsidR="00E75436" w:rsidRDefault="00E75436" w:rsidP="00E75436">
      <w:pPr>
        <w:pStyle w:val="2"/>
      </w:pPr>
      <w:bookmarkStart w:id="10" w:name="_Toc401667927"/>
      <w:r>
        <w:t>0.6</w:t>
      </w:r>
      <w:r>
        <w:tab/>
        <w:t>Commitments and Certifications to Cover Bidding</w:t>
      </w:r>
      <w:bookmarkEnd w:id="10"/>
    </w:p>
    <w:p w:rsidR="00E75436" w:rsidRDefault="00E75436" w:rsidP="00E75436">
      <w:pPr>
        <w:pStyle w:val="Para2"/>
      </w:pPr>
      <w:r>
        <w:t>Bidders must attach the following documents:</w:t>
      </w:r>
    </w:p>
    <w:p w:rsidR="00E75436" w:rsidRDefault="00E75436" w:rsidP="00E75436">
      <w:pPr>
        <w:pStyle w:val="AlphaList2"/>
        <w:numPr>
          <w:ilvl w:val="0"/>
          <w:numId w:val="35"/>
        </w:numPr>
      </w:pPr>
      <w:r>
        <w:t xml:space="preserve">A bank guarantee for &lt; sum &gt; payable to &lt;organization&gt;, in local currency, linked to the COL index and including VAT, effective for &lt;number&gt; days. The bidder will extend the term of the guarantee, upon request from &lt;organization&gt;, until a final decision is made as to the winner of the tender. The bidder may forfeit the guarantee if the proposal is accepted and the bidder refuses to fulfill the attendant obligations in accordance with the proposal and with the terms of this RFCon. </w:t>
      </w:r>
    </w:p>
    <w:p w:rsidR="00E75436" w:rsidRDefault="00E75436" w:rsidP="00E75436">
      <w:pPr>
        <w:pStyle w:val="AlphaList2"/>
      </w:pPr>
      <w:r>
        <w:t>A non-disclosure agreement, signed as a condition for the receipt of the RFCon document and for participating as a bidder.</w:t>
      </w:r>
    </w:p>
    <w:p w:rsidR="00E75436" w:rsidRDefault="00E75436" w:rsidP="00E75436">
      <w:pPr>
        <w:pStyle w:val="AlphaList2"/>
      </w:pPr>
      <w:r>
        <w:t xml:space="preserve">Government certificates attesting to valid methods of accounting and to VAT and income tax registration. </w:t>
      </w:r>
    </w:p>
    <w:p w:rsidR="00E75436" w:rsidRDefault="00E75436" w:rsidP="00E75436">
      <w:pPr>
        <w:pStyle w:val="AlphaList2"/>
      </w:pPr>
      <w:r>
        <w:t>A declaration in which the bidder attests that no hindrance or limitation applies to the offer of consultant services to &lt;organization&gt;, that the offer implies no impingement on the proprietary rights of any third party whatsoever, and that the bidder will indemnify &lt;organization&gt; in any case of a claim by a third party relating to the rights to the proposed solution.</w:t>
      </w:r>
    </w:p>
    <w:p w:rsidR="00E75436" w:rsidRDefault="00E75436" w:rsidP="00E75436">
      <w:pPr>
        <w:pStyle w:val="AlphaList2"/>
      </w:pPr>
      <w:r>
        <w:t>A certificate of compliance with the ISO &lt;number&gt; standard, or proof of knowledgeability regarding the process of such certification.</w:t>
      </w:r>
    </w:p>
    <w:p w:rsidR="00E75436" w:rsidRDefault="00E75436" w:rsidP="00E75436">
      <w:pPr>
        <w:pStyle w:val="2"/>
      </w:pPr>
      <w:bookmarkStart w:id="11" w:name="_Toc401667928"/>
      <w:r>
        <w:t>0.7</w:t>
      </w:r>
      <w:r>
        <w:tab/>
        <w:t>Commitments and Certifications to Cover Winning</w:t>
      </w:r>
      <w:bookmarkEnd w:id="11"/>
    </w:p>
    <w:p w:rsidR="00E75436" w:rsidRDefault="00E75436" w:rsidP="00E75436">
      <w:pPr>
        <w:pStyle w:val="AlphaList2"/>
        <w:numPr>
          <w:ilvl w:val="0"/>
          <w:numId w:val="36"/>
        </w:numPr>
      </w:pPr>
      <w:r>
        <w:t xml:space="preserve">A bank guarantee for &lt; sum and currency &gt; payable to &lt;organization&gt;, linked to the COL index and including VAT, effective for the term of the project’s implementation (the effective term of the contract). </w:t>
      </w:r>
    </w:p>
    <w:p w:rsidR="00E75436" w:rsidRDefault="00E75436" w:rsidP="00E75436">
      <w:pPr>
        <w:pStyle w:val="AlphaList2"/>
      </w:pPr>
      <w:r>
        <w:t>An overall guarantee for the implementation of the project, including responsibility for any proposed subcontractors who have been chosen.</w:t>
      </w:r>
    </w:p>
    <w:p w:rsidR="00E75436" w:rsidRDefault="00E75436" w:rsidP="00E75436">
      <w:pPr>
        <w:pStyle w:val="AlphaList2"/>
      </w:pPr>
      <w:r>
        <w:t>A signed non-disclosure agreement.</w:t>
      </w:r>
    </w:p>
    <w:p w:rsidR="00E75436" w:rsidRDefault="00E75436" w:rsidP="00E75436">
      <w:pPr>
        <w:pStyle w:val="AlphaList2"/>
      </w:pPr>
      <w:r>
        <w:t>The project is to be implemented according to the MethodA methodology. If the bidder proposes any complementary methodologies and tools, they are to be presented in the appropriate sections of the proposal, section 0.17 in particular. Preference will be given to proposals that include methodologies that are integrated with MethodA</w:t>
      </w:r>
    </w:p>
    <w:p w:rsidR="00E75436" w:rsidRDefault="00E75436" w:rsidP="00E75436">
      <w:pPr>
        <w:pStyle w:val="AlphaList2"/>
        <w:rPr>
          <w:lang w:eastAsia="en-US"/>
        </w:rPr>
      </w:pPr>
      <w:r>
        <w:t xml:space="preserve">The consultant who is chosen in the RFCon cannot then respond to the RFP. That is to say, the consultant who performs Analysis cannot then perform Design and Build for the same system. However, the RFCon bidder must be prepared to provide </w:t>
      </w:r>
      <w:r>
        <w:lastRenderedPageBreak/>
        <w:t>services to &lt;organization&gt;, if &lt;organization&gt; requests them, for RFP consulting, for supervision of the Build stage, for testing and supervision, for control, and for other forms of consultant services.</w:t>
      </w:r>
    </w:p>
    <w:p w:rsidR="00E75436" w:rsidRDefault="00E75436" w:rsidP="00E75436">
      <w:pPr>
        <w:pStyle w:val="AlphaList2"/>
      </w:pPr>
      <w:r>
        <w:t>Signatures will be required on the accompanying contract or on the &lt;name of contract&gt; contract from the Contracts kit of the MethodA Enablers volume. This RFCon (including the Initiation document) and the bidder’s proposal will become an appendix to the contract as explained in the RFP kit of MethodA.</w:t>
      </w:r>
    </w:p>
    <w:p w:rsidR="00E75436" w:rsidRDefault="00E75436" w:rsidP="00E75436">
      <w:pPr>
        <w:pStyle w:val="AlphaList2"/>
      </w:pPr>
      <w:r>
        <w:t>All deliverables produced by the consultancy will be the exclusive property of &lt;organization&gt;. The bidder will commit to full transfer (settlement) to &lt;organization&gt; of the right to use all associated components, including off-the-shelf software. If the proposed solution includes user rights devolving from a third party, the bidder will undertake to ensure transferal (settlement) of these user rights to &lt;organization&gt; without requiring the signature of &lt;organization&gt; on any contract or agreement other than its contract with the bidder.</w:t>
      </w:r>
    </w:p>
    <w:p w:rsidR="00E75436" w:rsidRDefault="00E75436" w:rsidP="00E75436">
      <w:pPr>
        <w:pStyle w:val="2"/>
      </w:pPr>
      <w:bookmarkStart w:id="12" w:name="_Toc401667929"/>
      <w:r>
        <w:t>0.8</w:t>
      </w:r>
      <w:r>
        <w:tab/>
        <w:t>Deliverables from the Consultancy (Content of the Work)</w:t>
      </w:r>
      <w:bookmarkEnd w:id="12"/>
    </w:p>
    <w:p w:rsidR="00E75436" w:rsidRDefault="00E75436" w:rsidP="00E75436">
      <w:pPr>
        <w:pStyle w:val="Para2"/>
      </w:pPr>
      <w:r>
        <w:t>These are the deliverables expected from the consultancy (that is, the content of the work):</w:t>
      </w:r>
    </w:p>
    <w:p w:rsidR="00E75436" w:rsidRDefault="00E75436" w:rsidP="00E75436">
      <w:pPr>
        <w:pStyle w:val="AlphaList2"/>
        <w:numPr>
          <w:ilvl w:val="0"/>
          <w:numId w:val="37"/>
        </w:numPr>
      </w:pPr>
      <w:r>
        <w:t>An Analysis document, including an executive summary and presentation, as defined in the current version of MethodA.</w:t>
      </w:r>
    </w:p>
    <w:p w:rsidR="00E75436" w:rsidRDefault="00E75436" w:rsidP="00E75436">
      <w:pPr>
        <w:pStyle w:val="AlphaList2"/>
        <w:numPr>
          <w:ilvl w:val="0"/>
          <w:numId w:val="37"/>
        </w:numPr>
      </w:pPr>
      <w:r>
        <w:t>A model/prototype, clarifying the following points: …</w:t>
      </w:r>
    </w:p>
    <w:p w:rsidR="00E75436" w:rsidRDefault="00E75436" w:rsidP="00E75436">
      <w:pPr>
        <w:pStyle w:val="AlphaList2"/>
        <w:numPr>
          <w:ilvl w:val="0"/>
          <w:numId w:val="37"/>
        </w:numPr>
      </w:pPr>
      <w:r>
        <w:t>&lt; any other deliverables &gt;</w:t>
      </w:r>
    </w:p>
    <w:p w:rsidR="00E75436" w:rsidRDefault="00E75436" w:rsidP="00E75436">
      <w:pPr>
        <w:pStyle w:val="Para2"/>
      </w:pPr>
      <w:r>
        <w:t>The quality of the deliverables, and their level of detail, must be such as to enable &lt;organization&gt; to continue the system development and decision-making. All the intermediate products and all the various drafts must conform to the structure of the final documents and clearly identify which sections are incomplete.</w:t>
      </w:r>
    </w:p>
    <w:p w:rsidR="00E75436" w:rsidRDefault="00E75436" w:rsidP="00E75436">
      <w:pPr>
        <w:pStyle w:val="2"/>
      </w:pPr>
      <w:bookmarkStart w:id="13" w:name="_Toc401667930"/>
      <w:r>
        <w:t>0.9</w:t>
      </w:r>
      <w:r>
        <w:tab/>
        <w:t>Rights of &lt;organization&gt;</w:t>
      </w:r>
      <w:bookmarkEnd w:id="13"/>
    </w:p>
    <w:p w:rsidR="00E75436" w:rsidRDefault="00E75436" w:rsidP="00E75436">
      <w:pPr>
        <w:pStyle w:val="BulletList2"/>
      </w:pPr>
      <w:r>
        <w:t>&lt;organization&gt; may split the proposal, accept parts of it, or implement it in phases.</w:t>
      </w:r>
    </w:p>
    <w:p w:rsidR="00E75436" w:rsidRDefault="00E75436" w:rsidP="00E75436">
      <w:pPr>
        <w:pStyle w:val="BulletList2"/>
      </w:pPr>
      <w:r>
        <w:t>&lt;organization&gt; may cancel the RFCon or issue a new RFCon.</w:t>
      </w:r>
    </w:p>
    <w:p w:rsidR="00E75436" w:rsidRDefault="00E75436" w:rsidP="00E75436">
      <w:pPr>
        <w:pStyle w:val="2"/>
      </w:pPr>
      <w:bookmarkStart w:id="14" w:name="_Toc401667931"/>
      <w:r>
        <w:t>0.10</w:t>
      </w:r>
      <w:r>
        <w:tab/>
        <w:t>Ownership of the RFCon and Proposal</w:t>
      </w:r>
      <w:bookmarkEnd w:id="14"/>
    </w:p>
    <w:p w:rsidR="00E75436" w:rsidRDefault="00E75436" w:rsidP="00E75436">
      <w:pPr>
        <w:pStyle w:val="Para2"/>
      </w:pPr>
      <w:r>
        <w:t>This RFCon is intellectual property of &lt;organization&gt; and is provided to the bidder solely to enable submission of a proposal. It is not to be used in any way directed to a purpose other than the preparation of the proposal.</w:t>
      </w:r>
    </w:p>
    <w:p w:rsidR="00E75436" w:rsidRDefault="00E75436" w:rsidP="00E75436">
      <w:pPr>
        <w:pStyle w:val="Para2"/>
      </w:pPr>
      <w:r>
        <w:t>The bidder’s proposal (the bidder’s response to the RFCon) is the bidder’s property. &lt;organization&gt; may use the proposal, and the information it contains, for any purpose related to its own operations.</w:t>
      </w:r>
    </w:p>
    <w:p w:rsidR="00E75436" w:rsidRDefault="00E75436" w:rsidP="00E75436">
      <w:pPr>
        <w:pStyle w:val="Para2"/>
      </w:pPr>
      <w:r>
        <w:t xml:space="preserve">In accordance with the provisions of the Israeli Tenders Law, bidders who do not win the tender may ask to review the winning proposal. In responding to this section, a bidder may specify in advance which sections of the bidder’s proposal are confidential and are not for disclosure to competitors. Nonetheless, the RFP Committee is entitled, at its own discretion, to disclose any document at all to the bidders who did not win the tender, provided that in the Committee’s professional judgment the contents do not </w:t>
      </w:r>
      <w:r>
        <w:lastRenderedPageBreak/>
        <w:t>include trade or professional secrets and the disclosure is required by the provisions of the Tenders Law.</w:t>
      </w:r>
    </w:p>
    <w:p w:rsidR="00E75436" w:rsidRDefault="00E75436" w:rsidP="00E75436">
      <w:pPr>
        <w:pStyle w:val="2"/>
      </w:pPr>
      <w:bookmarkStart w:id="15" w:name="_Toc401667932"/>
      <w:r>
        <w:t>0.11</w:t>
      </w:r>
      <w:r>
        <w:tab/>
        <w:t>Completeness of the Proposal and Overall Responsibility</w:t>
      </w:r>
      <w:bookmarkEnd w:id="15"/>
      <w:r>
        <w:t xml:space="preserve"> </w:t>
      </w:r>
    </w:p>
    <w:p w:rsidR="00E75436" w:rsidRDefault="00E75436" w:rsidP="00E75436">
      <w:pPr>
        <w:pStyle w:val="Para2"/>
      </w:pPr>
      <w:r>
        <w:t>It is clear to the parties, and agreed by them, that the submitted proposal is complete and is proposed as a single unit. The bidder will be considered the primary contractor and will be responsible for all the relevant activities and products of any subcontractors, agents, or other third parties enlisted into the project.</w:t>
      </w:r>
    </w:p>
    <w:p w:rsidR="00E75436" w:rsidRDefault="00E75436" w:rsidP="00E75436">
      <w:pPr>
        <w:pStyle w:val="2"/>
      </w:pPr>
      <w:bookmarkStart w:id="16" w:name="_Toc401667933"/>
      <w:r>
        <w:t>0.12</w:t>
      </w:r>
      <w:r>
        <w:tab/>
        <w:t>Examining and assessing the Proposals</w:t>
      </w:r>
      <w:bookmarkEnd w:id="16"/>
    </w:p>
    <w:p w:rsidR="00E75436" w:rsidRDefault="00E75436" w:rsidP="00E75436">
      <w:pPr>
        <w:pStyle w:val="3"/>
      </w:pPr>
      <w:r>
        <w:t>0.12.1</w:t>
      </w:r>
      <w:r>
        <w:tab/>
        <w:t>Assessing Benefits</w:t>
      </w:r>
    </w:p>
    <w:p w:rsidR="00E75436" w:rsidRDefault="00E75436" w:rsidP="00E75436">
      <w:pPr>
        <w:pStyle w:val="Para2"/>
      </w:pPr>
      <w:r>
        <w:t>For this RFCon, the elements of benefit (quality) in proposals will be weighed as follows:</w:t>
      </w:r>
    </w:p>
    <w:p w:rsidR="00E75436" w:rsidRDefault="00E75436" w:rsidP="00E75436">
      <w:pPr>
        <w:pStyle w:val="BulletList2"/>
        <w:rPr>
          <w:lang w:eastAsia="en-US"/>
        </w:rPr>
      </w:pPr>
      <w:r>
        <w:rPr>
          <w:lang w:eastAsia="en-US"/>
        </w:rPr>
        <w:t xml:space="preserve">0.15 Consultant’s Details– %      </w:t>
      </w:r>
    </w:p>
    <w:p w:rsidR="00E75436" w:rsidRDefault="00E75436" w:rsidP="00E75436">
      <w:pPr>
        <w:pStyle w:val="BulletList2"/>
        <w:rPr>
          <w:lang w:eastAsia="en-US"/>
        </w:rPr>
      </w:pPr>
      <w:r>
        <w:rPr>
          <w:lang w:eastAsia="en-US"/>
        </w:rPr>
        <w:t xml:space="preserve">0.17 Development Tools `–__%      </w:t>
      </w:r>
    </w:p>
    <w:p w:rsidR="00E75436" w:rsidRDefault="00E75436" w:rsidP="00E75436">
      <w:pPr>
        <w:pStyle w:val="BulletList2"/>
        <w:rPr>
          <w:lang w:eastAsia="en-US"/>
        </w:rPr>
      </w:pPr>
      <w:r>
        <w:rPr>
          <w:lang w:eastAsia="en-US"/>
        </w:rPr>
        <w:t xml:space="preserve">0.18 Workplan –__%      </w:t>
      </w:r>
    </w:p>
    <w:p w:rsidR="00E75436" w:rsidRDefault="00E75436" w:rsidP="00E75436">
      <w:pPr>
        <w:pStyle w:val="BulletList2"/>
        <w:rPr>
          <w:lang w:eastAsia="en-US"/>
        </w:rPr>
      </w:pPr>
      <w:r>
        <w:rPr>
          <w:lang w:eastAsia="en-US"/>
        </w:rPr>
        <w:t>5-1 Attention to Initiation Document –__%</w:t>
      </w:r>
    </w:p>
    <w:p w:rsidR="00E75436" w:rsidRDefault="00E75436" w:rsidP="00E75436">
      <w:pPr>
        <w:pStyle w:val="3"/>
      </w:pPr>
      <w:r>
        <w:t>0.12.2</w:t>
      </w:r>
      <w:r>
        <w:tab/>
        <w:t xml:space="preserve">Assessing </w:t>
      </w:r>
      <w:r>
        <w:rPr>
          <w:rFonts w:hint="cs"/>
        </w:rPr>
        <w:t>C</w:t>
      </w:r>
      <w:r>
        <w:t>ost/Benefit</w:t>
      </w:r>
    </w:p>
    <w:p w:rsidR="00E75436" w:rsidRDefault="00E75436" w:rsidP="00E75436">
      <w:pPr>
        <w:pStyle w:val="Para2"/>
      </w:pPr>
      <w:r>
        <w:t>For this RFP, overall cost/benefit will be weighed as follows:</w:t>
      </w:r>
    </w:p>
    <w:p w:rsidR="00E75436" w:rsidRDefault="00E75436" w:rsidP="00E75436">
      <w:pPr>
        <w:pStyle w:val="Para2"/>
      </w:pPr>
      <w:r>
        <w:t xml:space="preserve">Cost - __%      Benefit -__%      </w:t>
      </w:r>
    </w:p>
    <w:p w:rsidR="00E75436" w:rsidRDefault="00E75436" w:rsidP="00E75436">
      <w:pPr>
        <w:pStyle w:val="3"/>
      </w:pPr>
      <w:r>
        <w:t>0.12.3</w:t>
      </w:r>
      <w:r>
        <w:tab/>
        <w:t>Minimum Score — Go/NoGo Scores</w:t>
      </w:r>
    </w:p>
    <w:p w:rsidR="00E75436" w:rsidRDefault="00E75436" w:rsidP="00E75436">
      <w:pPr>
        <w:pStyle w:val="Para2"/>
      </w:pPr>
      <w:r>
        <w:t>For this RFCon, the following minimum scores have been set:</w:t>
      </w:r>
    </w:p>
    <w:p w:rsidR="00E75436" w:rsidRDefault="00E75436" w:rsidP="00E75436">
      <w:pPr>
        <w:pStyle w:val="BulletList2"/>
        <w:rPr>
          <w:lang w:eastAsia="en-US"/>
        </w:rPr>
      </w:pPr>
      <w:r>
        <w:rPr>
          <w:lang w:eastAsia="en-US"/>
        </w:rPr>
        <w:t xml:space="preserve">0.15 Consultant’s Details– %      </w:t>
      </w:r>
    </w:p>
    <w:p w:rsidR="00E75436" w:rsidRDefault="00E75436" w:rsidP="00E75436">
      <w:pPr>
        <w:pStyle w:val="BulletList2"/>
        <w:rPr>
          <w:lang w:eastAsia="en-US"/>
        </w:rPr>
      </w:pPr>
      <w:r>
        <w:rPr>
          <w:lang w:eastAsia="en-US"/>
        </w:rPr>
        <w:t xml:space="preserve">0.17 Development Tools –__%      </w:t>
      </w:r>
    </w:p>
    <w:p w:rsidR="00E75436" w:rsidRDefault="00E75436" w:rsidP="00E75436">
      <w:pPr>
        <w:pStyle w:val="BulletList2"/>
        <w:rPr>
          <w:lang w:eastAsia="en-US"/>
        </w:rPr>
      </w:pPr>
      <w:r>
        <w:rPr>
          <w:lang w:eastAsia="en-US"/>
        </w:rPr>
        <w:t xml:space="preserve">0.18 Workplan –__%      </w:t>
      </w:r>
    </w:p>
    <w:p w:rsidR="00E75436" w:rsidRDefault="00E75436" w:rsidP="00E75436">
      <w:pPr>
        <w:pStyle w:val="2"/>
      </w:pPr>
      <w:bookmarkStart w:id="17" w:name="_Toc401667934"/>
      <w:r>
        <w:t>0.13</w:t>
      </w:r>
      <w:r>
        <w:tab/>
        <w:t>Jurisdiction</w:t>
      </w:r>
      <w:bookmarkEnd w:id="17"/>
    </w:p>
    <w:p w:rsidR="00E75436" w:rsidRDefault="00E75436" w:rsidP="00E75436">
      <w:pPr>
        <w:pStyle w:val="Para2"/>
      </w:pPr>
      <w:r>
        <w:t>For all subjects and all matters connected with this RFCon, and for any legal action arising from the administration of this tender, jurisdiction will lie with the authorized courts in &lt;location&gt;.</w:t>
      </w:r>
    </w:p>
    <w:p w:rsidR="00E75436" w:rsidRDefault="00E75436" w:rsidP="00E75436">
      <w:pPr>
        <w:pStyle w:val="2"/>
      </w:pPr>
      <w:bookmarkStart w:id="18" w:name="_Toc401667935"/>
      <w:r>
        <w:t>0.14</w:t>
      </w:r>
      <w:r>
        <w:tab/>
        <w:t>Prices</w:t>
      </w:r>
      <w:bookmarkEnd w:id="18"/>
    </w:p>
    <w:p w:rsidR="00E75436" w:rsidRDefault="00E75436" w:rsidP="00E75436">
      <w:pPr>
        <w:pStyle w:val="Para2"/>
      </w:pPr>
      <w:r>
        <w:t xml:space="preserve">All prices must be quoted in local currency and are understood to be accurate as of the proposal’s date of submission. </w:t>
      </w:r>
    </w:p>
    <w:p w:rsidR="00E75436" w:rsidRDefault="00E75436" w:rsidP="00E75436">
      <w:pPr>
        <w:pStyle w:val="Para2"/>
      </w:pPr>
      <w:r>
        <w:t>Terms of linkage are…</w:t>
      </w:r>
    </w:p>
    <w:p w:rsidR="00E75436" w:rsidRDefault="00E75436" w:rsidP="00E75436">
      <w:pPr>
        <w:pStyle w:val="3"/>
      </w:pPr>
      <w:r>
        <w:t>0.4.1</w:t>
      </w:r>
      <w:r>
        <w:tab/>
        <w:t>Overall cost</w:t>
      </w:r>
    </w:p>
    <w:p w:rsidR="00E75436" w:rsidRDefault="00E75436" w:rsidP="00E75436">
      <w:pPr>
        <w:pStyle w:val="Para2"/>
      </w:pPr>
      <w:r>
        <w:t xml:space="preserve">Here, the bidder is expected to estimate the overall cost of performing analysis, at a fixed price. There should be clear connections to the workplan that section 0.18 proposes, and emphasis on the timing of payments as linked to milestones and </w:t>
      </w:r>
      <w:r>
        <w:lastRenderedPageBreak/>
        <w:t>deliverables. Where costs are incurred for computing, communications, materials, and other items that are not work-hours, the costs should also be made clear.</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808"/>
        <w:gridCol w:w="2040"/>
        <w:gridCol w:w="1169"/>
        <w:gridCol w:w="1670"/>
      </w:tblGrid>
      <w:tr w:rsidR="00E75436" w:rsidTr="00FB4021">
        <w:tc>
          <w:tcPr>
            <w:tcW w:w="1591" w:type="dxa"/>
            <w:shd w:val="pct10" w:color="auto" w:fill="FFFFFF"/>
          </w:tcPr>
          <w:p w:rsidR="00E75436" w:rsidRDefault="00E75436" w:rsidP="00FB4021">
            <w:pPr>
              <w:pStyle w:val="TableHead"/>
            </w:pPr>
            <w:r>
              <w:rPr>
                <w:rFonts w:hint="cs"/>
              </w:rPr>
              <w:t>M</w:t>
            </w:r>
            <w:r>
              <w:t>ilestone</w:t>
            </w:r>
          </w:p>
        </w:tc>
        <w:tc>
          <w:tcPr>
            <w:tcW w:w="1808" w:type="dxa"/>
            <w:shd w:val="pct10" w:color="auto" w:fill="FFFFFF"/>
          </w:tcPr>
          <w:p w:rsidR="00E75436" w:rsidRDefault="00E75436" w:rsidP="00FB4021">
            <w:pPr>
              <w:pStyle w:val="TableHead"/>
              <w:rPr>
                <w:rtl/>
              </w:rPr>
            </w:pPr>
            <w:r>
              <w:t>Deliverable</w:t>
            </w:r>
          </w:p>
        </w:tc>
        <w:tc>
          <w:tcPr>
            <w:tcW w:w="2040" w:type="dxa"/>
            <w:shd w:val="pct10" w:color="auto" w:fill="FFFFFF"/>
          </w:tcPr>
          <w:p w:rsidR="00E75436" w:rsidRDefault="00E75436" w:rsidP="00FB4021">
            <w:pPr>
              <w:pStyle w:val="TableHead"/>
            </w:pPr>
            <w:r>
              <w:t>Estimated Date*</w:t>
            </w:r>
          </w:p>
        </w:tc>
        <w:tc>
          <w:tcPr>
            <w:tcW w:w="1169" w:type="dxa"/>
            <w:shd w:val="pct10" w:color="auto" w:fill="FFFFFF"/>
          </w:tcPr>
          <w:p w:rsidR="00E75436" w:rsidRDefault="00E75436" w:rsidP="00FB4021">
            <w:pPr>
              <w:pStyle w:val="TableHead"/>
            </w:pPr>
            <w:r>
              <w:rPr>
                <w:rFonts w:hint="cs"/>
              </w:rPr>
              <w:t>C</w:t>
            </w:r>
            <w:r>
              <w:t>ost</w:t>
            </w:r>
          </w:p>
        </w:tc>
        <w:tc>
          <w:tcPr>
            <w:tcW w:w="1670" w:type="dxa"/>
            <w:shd w:val="pct10" w:color="auto" w:fill="FFFFFF"/>
          </w:tcPr>
          <w:p w:rsidR="00E75436" w:rsidRDefault="00E75436" w:rsidP="00FB4021">
            <w:pPr>
              <w:pStyle w:val="TableHead"/>
              <w:rPr>
                <w:rtl/>
              </w:rPr>
            </w:pPr>
            <w:r>
              <w:rPr>
                <w:rFonts w:hint="cs"/>
              </w:rPr>
              <w:t>R</w:t>
            </w:r>
            <w:r>
              <w:t>emarks</w:t>
            </w:r>
          </w:p>
        </w:tc>
      </w:tr>
      <w:tr w:rsidR="00E75436" w:rsidTr="00FB4021">
        <w:tc>
          <w:tcPr>
            <w:tcW w:w="1591" w:type="dxa"/>
          </w:tcPr>
          <w:p w:rsidR="00E75436" w:rsidRDefault="00E75436" w:rsidP="00FB4021">
            <w:pPr>
              <w:pStyle w:val="TableText"/>
              <w:rPr>
                <w:rtl/>
              </w:rPr>
            </w:pPr>
          </w:p>
        </w:tc>
        <w:tc>
          <w:tcPr>
            <w:tcW w:w="1808" w:type="dxa"/>
          </w:tcPr>
          <w:p w:rsidR="00E75436" w:rsidRDefault="00E75436" w:rsidP="00FB4021">
            <w:pPr>
              <w:pStyle w:val="TableText"/>
              <w:rPr>
                <w:rtl/>
              </w:rPr>
            </w:pPr>
          </w:p>
        </w:tc>
        <w:tc>
          <w:tcPr>
            <w:tcW w:w="2040" w:type="dxa"/>
          </w:tcPr>
          <w:p w:rsidR="00E75436" w:rsidRDefault="00E75436" w:rsidP="00FB4021">
            <w:pPr>
              <w:pStyle w:val="TableText"/>
              <w:rPr>
                <w:rtl/>
              </w:rPr>
            </w:pPr>
          </w:p>
        </w:tc>
        <w:tc>
          <w:tcPr>
            <w:tcW w:w="1169" w:type="dxa"/>
          </w:tcPr>
          <w:p w:rsidR="00E75436" w:rsidRDefault="00E75436" w:rsidP="00FB4021">
            <w:pPr>
              <w:pStyle w:val="TableText"/>
              <w:rPr>
                <w:rtl/>
              </w:rPr>
            </w:pPr>
          </w:p>
        </w:tc>
        <w:tc>
          <w:tcPr>
            <w:tcW w:w="1670" w:type="dxa"/>
          </w:tcPr>
          <w:p w:rsidR="00E75436" w:rsidRDefault="00E75436" w:rsidP="00FB4021">
            <w:pPr>
              <w:pStyle w:val="TableText"/>
              <w:rPr>
                <w:rtl/>
              </w:rPr>
            </w:pPr>
          </w:p>
        </w:tc>
      </w:tr>
      <w:tr w:rsidR="00E75436" w:rsidTr="00FB4021">
        <w:tc>
          <w:tcPr>
            <w:tcW w:w="1591" w:type="dxa"/>
          </w:tcPr>
          <w:p w:rsidR="00E75436" w:rsidRDefault="00E75436" w:rsidP="00FB4021">
            <w:pPr>
              <w:pStyle w:val="TableText"/>
              <w:rPr>
                <w:rtl/>
              </w:rPr>
            </w:pPr>
          </w:p>
        </w:tc>
        <w:tc>
          <w:tcPr>
            <w:tcW w:w="1808" w:type="dxa"/>
          </w:tcPr>
          <w:p w:rsidR="00E75436" w:rsidRDefault="00E75436" w:rsidP="00FB4021">
            <w:pPr>
              <w:pStyle w:val="TableText"/>
              <w:rPr>
                <w:rtl/>
              </w:rPr>
            </w:pPr>
          </w:p>
        </w:tc>
        <w:tc>
          <w:tcPr>
            <w:tcW w:w="2040" w:type="dxa"/>
          </w:tcPr>
          <w:p w:rsidR="00E75436" w:rsidRDefault="00E75436" w:rsidP="00FB4021">
            <w:pPr>
              <w:pStyle w:val="TableText"/>
              <w:rPr>
                <w:rtl/>
              </w:rPr>
            </w:pPr>
          </w:p>
        </w:tc>
        <w:tc>
          <w:tcPr>
            <w:tcW w:w="1169" w:type="dxa"/>
          </w:tcPr>
          <w:p w:rsidR="00E75436" w:rsidRDefault="00E75436" w:rsidP="00FB4021">
            <w:pPr>
              <w:pStyle w:val="TableText"/>
              <w:rPr>
                <w:rtl/>
              </w:rPr>
            </w:pPr>
          </w:p>
        </w:tc>
        <w:tc>
          <w:tcPr>
            <w:tcW w:w="1670" w:type="dxa"/>
          </w:tcPr>
          <w:p w:rsidR="00E75436" w:rsidRDefault="00E75436" w:rsidP="00FB4021">
            <w:pPr>
              <w:pStyle w:val="TableText"/>
              <w:rPr>
                <w:rtl/>
              </w:rPr>
            </w:pPr>
          </w:p>
        </w:tc>
      </w:tr>
    </w:tbl>
    <w:p w:rsidR="00E75436" w:rsidRDefault="00E75436" w:rsidP="00E75436">
      <w:pPr>
        <w:pStyle w:val="Para2"/>
      </w:pPr>
      <w:r>
        <w:t>* Estimate dates by T0+ (that is, as days or weeks elapsed since the start of the project).</w:t>
      </w:r>
    </w:p>
    <w:p w:rsidR="00E75436" w:rsidRDefault="00E75436" w:rsidP="00E75436">
      <w:pPr>
        <w:pStyle w:val="3"/>
      </w:pPr>
      <w:r>
        <w:t>0.4.1</w:t>
      </w:r>
      <w:r>
        <w:tab/>
        <w:t>Price list</w:t>
      </w:r>
    </w:p>
    <w:p w:rsidR="00E75436" w:rsidRDefault="00E75436" w:rsidP="00E75436">
      <w:pPr>
        <w:pStyle w:val="Para2"/>
      </w:pPr>
      <w:r>
        <w:t>The bidder must provide a price list including, among other items, work-hours for the various professionals who will assist the project.</w:t>
      </w:r>
    </w:p>
    <w:p w:rsidR="00E75436" w:rsidRDefault="00E75436" w:rsidP="00E75436">
      <w:pPr>
        <w:pStyle w:val="Para2"/>
      </w:pP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499"/>
        <w:gridCol w:w="1626"/>
        <w:gridCol w:w="1774"/>
      </w:tblGrid>
      <w:tr w:rsidR="00E75436" w:rsidTr="00FB4021">
        <w:tc>
          <w:tcPr>
            <w:tcW w:w="3379" w:type="dxa"/>
            <w:shd w:val="pct10" w:color="auto" w:fill="FFFFFF"/>
          </w:tcPr>
          <w:p w:rsidR="00E75436" w:rsidRDefault="00E75436" w:rsidP="00FB4021">
            <w:pPr>
              <w:pStyle w:val="TableHead"/>
            </w:pPr>
            <w:r>
              <w:t>Item</w:t>
            </w:r>
          </w:p>
        </w:tc>
        <w:tc>
          <w:tcPr>
            <w:tcW w:w="1499" w:type="dxa"/>
            <w:shd w:val="pct10" w:color="auto" w:fill="FFFFFF"/>
          </w:tcPr>
          <w:p w:rsidR="00E75436" w:rsidRDefault="00E75436" w:rsidP="00FB4021">
            <w:pPr>
              <w:pStyle w:val="TableHead"/>
              <w:rPr>
                <w:rtl/>
              </w:rPr>
            </w:pPr>
            <w:r>
              <w:t>Unit Price</w:t>
            </w:r>
          </w:p>
        </w:tc>
        <w:tc>
          <w:tcPr>
            <w:tcW w:w="1626" w:type="dxa"/>
            <w:shd w:val="pct10" w:color="auto" w:fill="FFFFFF"/>
          </w:tcPr>
          <w:p w:rsidR="00E75436" w:rsidRDefault="00E75436" w:rsidP="00FB4021">
            <w:pPr>
              <w:pStyle w:val="TableHead"/>
              <w:rPr>
                <w:rtl/>
              </w:rPr>
            </w:pPr>
            <w:r>
              <w:rPr>
                <w:rFonts w:hint="cs"/>
              </w:rPr>
              <w:t>Q</w:t>
            </w:r>
            <w:r>
              <w:t>uantity</w:t>
            </w:r>
          </w:p>
        </w:tc>
        <w:tc>
          <w:tcPr>
            <w:tcW w:w="1774" w:type="dxa"/>
            <w:shd w:val="pct10" w:color="auto" w:fill="FFFFFF"/>
          </w:tcPr>
          <w:p w:rsidR="00E75436" w:rsidRDefault="00E75436" w:rsidP="00FB4021">
            <w:pPr>
              <w:pStyle w:val="TableHead"/>
              <w:rPr>
                <w:rtl/>
              </w:rPr>
            </w:pPr>
            <w:r>
              <w:rPr>
                <w:rFonts w:hint="cs"/>
              </w:rPr>
              <w:t>S</w:t>
            </w:r>
            <w:r>
              <w:t>ubtotal</w:t>
            </w:r>
          </w:p>
        </w:tc>
      </w:tr>
      <w:tr w:rsidR="00E75436" w:rsidTr="00FB4021">
        <w:tc>
          <w:tcPr>
            <w:tcW w:w="3379" w:type="dxa"/>
          </w:tcPr>
          <w:p w:rsidR="00E75436" w:rsidRDefault="00E75436" w:rsidP="00FB4021">
            <w:pPr>
              <w:pStyle w:val="TableText"/>
              <w:rPr>
                <w:rtl/>
              </w:rPr>
            </w:pPr>
          </w:p>
        </w:tc>
        <w:tc>
          <w:tcPr>
            <w:tcW w:w="1499" w:type="dxa"/>
          </w:tcPr>
          <w:p w:rsidR="00E75436" w:rsidRDefault="00E75436" w:rsidP="00FB4021">
            <w:pPr>
              <w:pStyle w:val="TableText"/>
              <w:rPr>
                <w:rtl/>
              </w:rPr>
            </w:pPr>
          </w:p>
        </w:tc>
        <w:tc>
          <w:tcPr>
            <w:tcW w:w="1626" w:type="dxa"/>
          </w:tcPr>
          <w:p w:rsidR="00E75436" w:rsidRDefault="00E75436" w:rsidP="00FB4021">
            <w:pPr>
              <w:pStyle w:val="TableText"/>
              <w:rPr>
                <w:rtl/>
              </w:rPr>
            </w:pPr>
          </w:p>
        </w:tc>
        <w:tc>
          <w:tcPr>
            <w:tcW w:w="1774" w:type="dxa"/>
          </w:tcPr>
          <w:p w:rsidR="00E75436" w:rsidRDefault="00E75436" w:rsidP="00FB4021">
            <w:pPr>
              <w:pStyle w:val="TableText"/>
              <w:rPr>
                <w:rtl/>
              </w:rPr>
            </w:pPr>
          </w:p>
        </w:tc>
      </w:tr>
      <w:tr w:rsidR="00E75436" w:rsidTr="00FB4021">
        <w:tc>
          <w:tcPr>
            <w:tcW w:w="3379" w:type="dxa"/>
          </w:tcPr>
          <w:p w:rsidR="00E75436" w:rsidRDefault="00E75436" w:rsidP="00FB4021">
            <w:pPr>
              <w:pStyle w:val="TableText"/>
              <w:rPr>
                <w:rtl/>
              </w:rPr>
            </w:pPr>
          </w:p>
        </w:tc>
        <w:tc>
          <w:tcPr>
            <w:tcW w:w="1499" w:type="dxa"/>
          </w:tcPr>
          <w:p w:rsidR="00E75436" w:rsidRDefault="00E75436" w:rsidP="00FB4021">
            <w:pPr>
              <w:pStyle w:val="TableText"/>
              <w:rPr>
                <w:rtl/>
              </w:rPr>
            </w:pPr>
          </w:p>
        </w:tc>
        <w:tc>
          <w:tcPr>
            <w:tcW w:w="1626" w:type="dxa"/>
          </w:tcPr>
          <w:p w:rsidR="00E75436" w:rsidRDefault="00E75436" w:rsidP="00FB4021">
            <w:pPr>
              <w:pStyle w:val="TableText"/>
              <w:rPr>
                <w:rtl/>
              </w:rPr>
            </w:pPr>
          </w:p>
        </w:tc>
        <w:tc>
          <w:tcPr>
            <w:tcW w:w="1774" w:type="dxa"/>
          </w:tcPr>
          <w:p w:rsidR="00E75436" w:rsidRDefault="00E75436" w:rsidP="00FB4021">
            <w:pPr>
              <w:pStyle w:val="TableText"/>
              <w:rPr>
                <w:rtl/>
              </w:rPr>
            </w:pPr>
          </w:p>
        </w:tc>
      </w:tr>
      <w:tr w:rsidR="00E75436" w:rsidTr="00FB4021">
        <w:tc>
          <w:tcPr>
            <w:tcW w:w="3379" w:type="dxa"/>
          </w:tcPr>
          <w:p w:rsidR="00E75436" w:rsidRDefault="00E75436" w:rsidP="00FB4021">
            <w:pPr>
              <w:pStyle w:val="TableText"/>
              <w:rPr>
                <w:rtl/>
              </w:rPr>
            </w:pPr>
          </w:p>
        </w:tc>
        <w:tc>
          <w:tcPr>
            <w:tcW w:w="1499" w:type="dxa"/>
          </w:tcPr>
          <w:p w:rsidR="00E75436" w:rsidRDefault="00E75436" w:rsidP="00FB4021">
            <w:pPr>
              <w:pStyle w:val="TableText"/>
              <w:rPr>
                <w:rtl/>
              </w:rPr>
            </w:pPr>
          </w:p>
        </w:tc>
        <w:tc>
          <w:tcPr>
            <w:tcW w:w="1626" w:type="dxa"/>
          </w:tcPr>
          <w:p w:rsidR="00E75436" w:rsidRDefault="00E75436" w:rsidP="00FB4021">
            <w:pPr>
              <w:pStyle w:val="TableText"/>
              <w:rPr>
                <w:rtl/>
              </w:rPr>
            </w:pPr>
          </w:p>
        </w:tc>
        <w:tc>
          <w:tcPr>
            <w:tcW w:w="1774" w:type="dxa"/>
          </w:tcPr>
          <w:p w:rsidR="00E75436" w:rsidRDefault="00E75436" w:rsidP="00FB4021">
            <w:pPr>
              <w:pStyle w:val="TableText"/>
              <w:rPr>
                <w:rtl/>
              </w:rPr>
            </w:pPr>
          </w:p>
        </w:tc>
      </w:tr>
    </w:tbl>
    <w:p w:rsidR="00E75436" w:rsidRDefault="00E75436" w:rsidP="00E75436">
      <w:pPr>
        <w:pStyle w:val="2"/>
      </w:pPr>
      <w:bookmarkStart w:id="19" w:name="_Toc401667936"/>
      <w:r>
        <w:t>0.15</w:t>
      </w:r>
      <w:r>
        <w:tab/>
        <w:t>Consultant’s Details</w:t>
      </w:r>
      <w:bookmarkEnd w:id="19"/>
    </w:p>
    <w:p w:rsidR="00E75436" w:rsidRDefault="00E75436" w:rsidP="00E75436">
      <w:pPr>
        <w:pStyle w:val="Para2"/>
      </w:pPr>
      <w:r>
        <w:t>This section should cover general experience in system analysis and specific experience with the type of system that the RFCon deals with.</w:t>
      </w:r>
    </w:p>
    <w:p w:rsidR="00E75436" w:rsidRDefault="00E75436" w:rsidP="00E75436">
      <w:pPr>
        <w:pStyle w:val="Para2"/>
      </w:pPr>
      <w:r>
        <w:t>Include the type and composition of the workforce proposed for the project, including the name, specialization, and experience of each individual.</w:t>
      </w:r>
    </w:p>
    <w:p w:rsidR="00E75436" w:rsidRDefault="00E75436" w:rsidP="00E75436">
      <w:pPr>
        <w:pStyle w:val="Para2"/>
      </w:pPr>
      <w:r>
        <w:t>Include examples of similar work performed under MethodA.</w:t>
      </w:r>
    </w:p>
    <w:p w:rsidR="00E75436" w:rsidRDefault="00E75436" w:rsidP="00E75436">
      <w:pPr>
        <w:pStyle w:val="Para2"/>
      </w:pPr>
      <w:r>
        <w:t>Include the details of individuals who will serve as references.</w:t>
      </w:r>
    </w:p>
    <w:p w:rsidR="00E75436" w:rsidRDefault="00E75436" w:rsidP="00E75436">
      <w:pPr>
        <w:pStyle w:val="Para2"/>
      </w:pPr>
      <w:r>
        <w:t>Mention any experience with special components of the system, as in the following list:</w:t>
      </w:r>
    </w:p>
    <w:p w:rsidR="00E75436" w:rsidRDefault="00E75436" w:rsidP="00E75436">
      <w:pPr>
        <w:pStyle w:val="Para2Title"/>
      </w:pPr>
      <w:r>
        <w:t>Each item in the list above is to also be detailed for each secondary consultant (that is, each subcontractor) included in the proposal.</w:t>
      </w:r>
    </w:p>
    <w:p w:rsidR="00E75436" w:rsidRDefault="00E75436" w:rsidP="00E75436">
      <w:pPr>
        <w:pStyle w:val="2"/>
      </w:pPr>
      <w:bookmarkStart w:id="20" w:name="_Toc401667937"/>
      <w:r>
        <w:t>0.16</w:t>
      </w:r>
      <w:r>
        <w:tab/>
        <w:t>National/Business Security</w:t>
      </w:r>
      <w:bookmarkEnd w:id="20"/>
    </w:p>
    <w:p w:rsidR="00E75436" w:rsidRDefault="00E75436" w:rsidP="00E75436">
      <w:pPr>
        <w:pStyle w:val="3"/>
      </w:pPr>
      <w:r>
        <w:t>0.16.1</w:t>
      </w:r>
      <w:r>
        <w:tab/>
        <w:t>Classification of tender documents</w:t>
      </w:r>
    </w:p>
    <w:p w:rsidR="00E75436" w:rsidRDefault="00E75436" w:rsidP="00E75436">
      <w:pPr>
        <w:pStyle w:val="Para2"/>
      </w:pPr>
      <w:r>
        <w:t>This RFCon, and the bidders’ proposals, and all other associated material relating to the tender as well, are classified &lt;security classification&gt;. This RFCon and all associated documents, including the bidders’ proposals, must be handled in accordance with the guidelines of the Procurement department of Ministry of Defense or in accordance with the CCS guidelines for the appropriate classification. [</w:t>
      </w:r>
      <w:r>
        <w:rPr>
          <w:i/>
          <w:iCs/>
        </w:rPr>
        <w:t>or, for a business, the guidelines of the organization issuing the RFCon</w:t>
      </w:r>
      <w:r>
        <w:t>]</w:t>
      </w:r>
    </w:p>
    <w:p w:rsidR="00E75436" w:rsidRDefault="00E75436" w:rsidP="00E75436">
      <w:pPr>
        <w:pStyle w:val="Para2"/>
      </w:pPr>
      <w:r>
        <w:t>Upon termination of the RFCon, or upon receipt of appropriate notification, all documents relating to this RFCon must be returned to &lt;organization&gt;.</w:t>
      </w:r>
    </w:p>
    <w:p w:rsidR="00E75436" w:rsidRDefault="00E75436" w:rsidP="00E75436">
      <w:pPr>
        <w:pStyle w:val="3"/>
      </w:pPr>
      <w:r>
        <w:t>0.16.</w:t>
      </w:r>
      <w:r>
        <w:rPr>
          <w:rFonts w:hint="cs"/>
          <w:rtl/>
        </w:rPr>
        <w:t>2</w:t>
      </w:r>
      <w:r>
        <w:tab/>
        <w:t>Classification of the project</w:t>
      </w:r>
    </w:p>
    <w:p w:rsidR="00E75436" w:rsidRDefault="00E75436" w:rsidP="00E75436">
      <w:pPr>
        <w:pStyle w:val="Para2"/>
      </w:pPr>
      <w:r>
        <w:t>The project is classified &lt;security classification&gt;.</w:t>
      </w:r>
    </w:p>
    <w:p w:rsidR="00E75436" w:rsidRDefault="00E75436" w:rsidP="00E75436">
      <w:pPr>
        <w:pStyle w:val="Para2"/>
      </w:pPr>
      <w:r>
        <w:lastRenderedPageBreak/>
        <w:t>The bidder, the persons engaged in this project on the bidder’s behalf, and all information and documents relating to the project will have appropriate classification. (For Israeli government work, classification is in accordance with the guidelines of the Procurement department of Ministry of Defense or in accordance with the CCS guidelines for the appropriate classification.)</w:t>
      </w:r>
    </w:p>
    <w:p w:rsidR="00E75436" w:rsidRDefault="00E75436" w:rsidP="00E75436">
      <w:pPr>
        <w:pStyle w:val="Para2"/>
      </w:pPr>
      <w:r>
        <w:t>On completion of the project, or termination of the bidder’s work on the project regardless of the reason, the bidder will return to &lt;organization&gt; all documents and other materials relating to the project, including all the copies and their backups, and will delete the above from all magnetic media in his possession.</w:t>
      </w:r>
    </w:p>
    <w:p w:rsidR="00E75436" w:rsidRDefault="00E75436" w:rsidP="00E75436">
      <w:pPr>
        <w:pStyle w:val="3"/>
      </w:pPr>
      <w:r>
        <w:t>0.16.3</w:t>
      </w:r>
      <w:r>
        <w:tab/>
        <w:t>Field security</w:t>
      </w:r>
    </w:p>
    <w:p w:rsidR="00E75436" w:rsidRDefault="00E75436" w:rsidP="00E75436">
      <w:pPr>
        <w:pStyle w:val="Para2"/>
      </w:pPr>
      <w:r>
        <w:t>The bidder must provide field security permits for all employees and for all other personnel working on the project on the bidder’s behalf, and must undertake that these permits will not delay the performance of the work.</w:t>
      </w:r>
    </w:p>
    <w:p w:rsidR="00E75436" w:rsidRDefault="00E75436" w:rsidP="00E75436">
      <w:pPr>
        <w:pStyle w:val="2"/>
      </w:pPr>
      <w:bookmarkStart w:id="21" w:name="_Toc401667938"/>
      <w:r>
        <w:t>0.17</w:t>
      </w:r>
      <w:r>
        <w:tab/>
        <w:t>Tools and Methods</w:t>
      </w:r>
      <w:bookmarkEnd w:id="21"/>
    </w:p>
    <w:p w:rsidR="00E75436" w:rsidRDefault="00E75436" w:rsidP="00E75436">
      <w:pPr>
        <w:pStyle w:val="Para2"/>
      </w:pPr>
      <w:r>
        <w:t>This section should detail the methods, methodologies, and tools that the consultant is skilled with and proposes using for the analysis (with full MethodA compliance). The bidder should point out clearly how these tools are connected with the prototype, if the RFCon so requests or in any case where the bidder is suggesting a prototype.</w:t>
      </w:r>
    </w:p>
    <w:p w:rsidR="00E75436" w:rsidRDefault="00E75436" w:rsidP="00E75436">
      <w:pPr>
        <w:pStyle w:val="Para2Title"/>
      </w:pPr>
      <w:r>
        <w:t>The proposed tools must meet the following conditions:</w:t>
      </w:r>
    </w:p>
    <w:p w:rsidR="00E75436" w:rsidRDefault="00E75436" w:rsidP="00E75436">
      <w:pPr>
        <w:pStyle w:val="BulletList2"/>
      </w:pPr>
      <w:r>
        <w:t>Run on equipment that the project, &lt;organization&gt;, or the consultant has available.</w:t>
      </w:r>
    </w:p>
    <w:p w:rsidR="00E75436" w:rsidRDefault="00E75436" w:rsidP="00E75436">
      <w:pPr>
        <w:pStyle w:val="BulletList2"/>
      </w:pPr>
      <w:r>
        <w:t>Have proven themselves in similar projects.</w:t>
      </w:r>
    </w:p>
    <w:p w:rsidR="00E75436" w:rsidRDefault="00E75436" w:rsidP="00E75436">
      <w:pPr>
        <w:pStyle w:val="BulletList2"/>
      </w:pPr>
      <w:r>
        <w:t>Support the local language and the production of a MethodA-compliant Analysis document.</w:t>
      </w:r>
    </w:p>
    <w:p w:rsidR="00E75436" w:rsidRDefault="00E75436" w:rsidP="00E75436">
      <w:pPr>
        <w:pStyle w:val="BulletList2"/>
      </w:pPr>
      <w:r>
        <w:t>Be capable of continuity into the Design &amp; Build phase.</w:t>
      </w:r>
    </w:p>
    <w:p w:rsidR="00E75436" w:rsidRDefault="00E75436" w:rsidP="00E75436">
      <w:pPr>
        <w:pStyle w:val="2"/>
      </w:pPr>
      <w:bookmarkStart w:id="22" w:name="_Toc401667939"/>
      <w:r>
        <w:t>0.18</w:t>
      </w:r>
      <w:r>
        <w:tab/>
        <w:t>Workplan</w:t>
      </w:r>
      <w:bookmarkEnd w:id="22"/>
    </w:p>
    <w:p w:rsidR="00E75436" w:rsidRDefault="00E75436" w:rsidP="00E75436">
      <w:pPr>
        <w:pStyle w:val="Para2"/>
      </w:pPr>
      <w:r>
        <w:t>In this section, the bidder should detail the workplan proposed for performing the analysis. Include the following items:</w:t>
      </w:r>
    </w:p>
    <w:p w:rsidR="00E75436" w:rsidRDefault="00E75436" w:rsidP="00E75436">
      <w:pPr>
        <w:pStyle w:val="AlphaList2"/>
      </w:pPr>
      <w:r>
        <w:t>Software tools and techniques</w:t>
      </w:r>
    </w:p>
    <w:p w:rsidR="00E75436" w:rsidRDefault="00E75436" w:rsidP="00E75436">
      <w:pPr>
        <w:pStyle w:val="AlphaList2"/>
      </w:pPr>
      <w:r>
        <w:t>Follow-up at monthly intervals (at the longest) of performance vs. plan</w:t>
      </w:r>
    </w:p>
    <w:p w:rsidR="00E75436" w:rsidRDefault="00E75436" w:rsidP="00E75436">
      <w:pPr>
        <w:pStyle w:val="AlphaList2"/>
      </w:pPr>
      <w:r>
        <w:t>Treatment of deviations, and of anticipated-deviation alerts, while remaining within the following limits:</w:t>
      </w:r>
    </w:p>
    <w:p w:rsidR="00E75436" w:rsidRDefault="00E75436" w:rsidP="00E75436">
      <w:pPr>
        <w:pStyle w:val="BulletList2"/>
      </w:pPr>
      <w:r>
        <w:t>Start of work not before &lt;date&gt; and not after &lt;date&gt;.</w:t>
      </w:r>
    </w:p>
    <w:p w:rsidR="00E75436" w:rsidRDefault="00E75436" w:rsidP="00E75436">
      <w:pPr>
        <w:pStyle w:val="BulletList2"/>
      </w:pPr>
      <w:r>
        <w:t>&lt;number&gt; milestones and &lt;number&gt; drafts of the Analysis document at intervals of no longer than &lt;number&gt; days.</w:t>
      </w:r>
    </w:p>
    <w:p w:rsidR="00E75436" w:rsidRDefault="00E75436" w:rsidP="00E75436">
      <w:pPr>
        <w:pStyle w:val="BulletList2"/>
      </w:pPr>
      <w:r>
        <w:t>Conscientious involvement of the application experts.</w:t>
      </w:r>
    </w:p>
    <w:p w:rsidR="00E75436" w:rsidRDefault="00E75436" w:rsidP="00E75436">
      <w:pPr>
        <w:pStyle w:val="BulletList2"/>
      </w:pPr>
      <w:r>
        <w:t>Completion no later than &lt;date&gt;.</w:t>
      </w:r>
    </w:p>
    <w:p w:rsidR="00E75436" w:rsidRDefault="00E75436" w:rsidP="00E75436">
      <w:pPr>
        <w:pStyle w:val="BulletList2"/>
      </w:pPr>
      <w:r>
        <w:t>Adherence to milestones, with reviews at two-week intervals (at the longest).</w:t>
      </w:r>
    </w:p>
    <w:p w:rsidR="00E75436" w:rsidRDefault="00E75436" w:rsidP="00E75436">
      <w:pPr>
        <w:pStyle w:val="BulletList2"/>
      </w:pPr>
      <w:r>
        <w:t>Preparation of at least &lt;number&gt; presentations to the &lt;organization&gt; management.</w:t>
      </w:r>
    </w:p>
    <w:p w:rsidR="00E75436" w:rsidRDefault="00E75436" w:rsidP="00E75436">
      <w:pPr>
        <w:pStyle w:val="BulletList2"/>
      </w:pPr>
      <w:r>
        <w:lastRenderedPageBreak/>
        <w:t>Target dates according to section 1.7 of the Initiation document.</w:t>
      </w:r>
    </w:p>
    <w:p w:rsidR="00E75436" w:rsidRDefault="00E75436" w:rsidP="00E75436">
      <w:pPr>
        <w:pStyle w:val="1"/>
        <w:pageBreakBefore/>
      </w:pPr>
      <w:bookmarkStart w:id="23" w:name="end_of_appendices"/>
      <w:bookmarkStart w:id="24" w:name="_Toc66088247"/>
      <w:bookmarkStart w:id="25" w:name="_Toc401667940"/>
      <w:bookmarkEnd w:id="23"/>
      <w:r>
        <w:lastRenderedPageBreak/>
        <w:t>Initiation Document</w:t>
      </w:r>
      <w:bookmarkEnd w:id="24"/>
      <w:bookmarkEnd w:id="25"/>
    </w:p>
    <w:p w:rsidR="00E75436" w:rsidRDefault="00E75436" w:rsidP="00E75436">
      <w:pPr>
        <w:pStyle w:val="2"/>
      </w:pPr>
      <w:bookmarkStart w:id="26" w:name="_Toc401667941"/>
      <w:r>
        <w:t>1. Goals</w:t>
      </w:r>
      <w:bookmarkEnd w:id="26"/>
    </w:p>
    <w:p w:rsidR="00E75436" w:rsidRDefault="00E75436" w:rsidP="00E75436">
      <w:pPr>
        <w:pStyle w:val="2"/>
      </w:pPr>
      <w:bookmarkStart w:id="27" w:name="_Toc401667942"/>
      <w:r>
        <w:t>2. Application</w:t>
      </w:r>
      <w:bookmarkEnd w:id="27"/>
    </w:p>
    <w:p w:rsidR="00E75436" w:rsidRDefault="00E75436" w:rsidP="00E75436">
      <w:pPr>
        <w:pStyle w:val="2"/>
      </w:pPr>
      <w:bookmarkStart w:id="28" w:name="_Toc401667943"/>
      <w:r>
        <w:t>3. Technology</w:t>
      </w:r>
      <w:bookmarkEnd w:id="28"/>
    </w:p>
    <w:p w:rsidR="00E75436" w:rsidRDefault="00E75436" w:rsidP="00E75436">
      <w:pPr>
        <w:pStyle w:val="2"/>
      </w:pPr>
      <w:bookmarkStart w:id="29" w:name="_Toc401667944"/>
      <w:r>
        <w:t>4. Implementation</w:t>
      </w:r>
      <w:bookmarkEnd w:id="29"/>
    </w:p>
    <w:p w:rsidR="00E75436" w:rsidRDefault="00E75436" w:rsidP="00E75436">
      <w:pPr>
        <w:pStyle w:val="2"/>
      </w:pPr>
      <w:bookmarkStart w:id="30" w:name="_Toc401667945"/>
      <w:r>
        <w:t>5. Cost</w:t>
      </w:r>
      <w:bookmarkEnd w:id="30"/>
    </w:p>
    <w:p w:rsidR="00E75436" w:rsidRDefault="00E75436" w:rsidP="00E75436">
      <w:pPr>
        <w:pStyle w:val="1"/>
      </w:pPr>
      <w:bookmarkStart w:id="31" w:name="_Toc66088248"/>
      <w:bookmarkStart w:id="32" w:name="_Toc401667946"/>
      <w:r>
        <w:t>Additional Documents</w:t>
      </w:r>
      <w:bookmarkEnd w:id="31"/>
      <w:bookmarkEnd w:id="32"/>
    </w:p>
    <w:p w:rsidR="00E75436" w:rsidRDefault="00E75436" w:rsidP="00E75436">
      <w:pPr>
        <w:pStyle w:val="Para2"/>
      </w:pPr>
      <w:r>
        <w:t>The following documents are included for the bidder’s attention:</w:t>
      </w:r>
    </w:p>
    <w:p w:rsidR="00E75436" w:rsidRDefault="00E75436" w:rsidP="00E75436">
      <w:pPr>
        <w:pStyle w:val="AlphaList2"/>
        <w:numPr>
          <w:ilvl w:val="0"/>
          <w:numId w:val="38"/>
        </w:numPr>
      </w:pPr>
      <w:r>
        <w:t>IT Master Plan</w:t>
      </w:r>
    </w:p>
    <w:p w:rsidR="00E75436" w:rsidRDefault="00E75436" w:rsidP="00E75436">
      <w:pPr>
        <w:pStyle w:val="AlphaList2"/>
      </w:pPr>
      <w:r>
        <w:t>&lt;Example/Template&gt; of an Analysis document as recently produced for &lt;organization&gt;</w:t>
      </w:r>
    </w:p>
    <w:p w:rsidR="00E75436" w:rsidRDefault="00E75436" w:rsidP="00E75436">
      <w:pPr>
        <w:pStyle w:val="AlphaList2"/>
      </w:pPr>
      <w:r>
        <w:t>Example of a &lt; prototype / concept document&gt;</w:t>
      </w:r>
    </w:p>
    <w:p w:rsidR="00E75436" w:rsidRDefault="00E75436" w:rsidP="00E75436">
      <w:pPr>
        <w:pStyle w:val="AlphaList2"/>
      </w:pPr>
      <w:r>
        <w:t>The following standards:</w:t>
      </w:r>
    </w:p>
    <w:p w:rsidR="00E75436" w:rsidRDefault="00E75436" w:rsidP="00E75436">
      <w:pPr>
        <w:pStyle w:val="BulletList3"/>
      </w:pPr>
      <w:r>
        <w:t>Human/Computer Interface (HCI) standard</w:t>
      </w:r>
    </w:p>
    <w:p w:rsidR="00E75436" w:rsidRDefault="00E75436" w:rsidP="00E75436">
      <w:pPr>
        <w:pStyle w:val="BulletList3"/>
      </w:pPr>
      <w:r>
        <w:t>Data security standard</w:t>
      </w:r>
    </w:p>
    <w:p w:rsidR="00E75436" w:rsidRDefault="00E75436" w:rsidP="00E75436">
      <w:pPr>
        <w:pStyle w:val="BulletList3"/>
      </w:pPr>
      <w:r>
        <w:t>Supplier/Client contracting standard</w:t>
      </w:r>
    </w:p>
    <w:p w:rsidR="00E75436" w:rsidRDefault="00E75436" w:rsidP="00E75436">
      <w:pPr>
        <w:pStyle w:val="BulletList3"/>
      </w:pPr>
      <w:r>
        <w:t>Change control standard</w:t>
      </w:r>
    </w:p>
    <w:sectPr w:rsidR="00E75436" w:rsidSect="00E7543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709" w:footer="607"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36" w:rsidRDefault="00E75436" w:rsidP="001B29DC">
      <w:r>
        <w:separator/>
      </w:r>
    </w:p>
  </w:endnote>
  <w:endnote w:type="continuationSeparator" w:id="0">
    <w:p w:rsidR="00E75436" w:rsidRDefault="00E75436" w:rsidP="001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EB" w:rsidRDefault="00F34F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7C" w:rsidRDefault="00681A7C" w:rsidP="00681A7C">
    <w:pPr>
      <w:pStyle w:val="FooterTitle"/>
      <w:jc w:val="center"/>
      <w:rPr>
        <w:b/>
        <w:bCs/>
      </w:rPr>
    </w:pPr>
    <w:r>
      <w:rPr>
        <w:b/>
        <w:bCs/>
      </w:rPr>
      <w:t>- &lt;Classification&gt; -</w:t>
    </w:r>
  </w:p>
  <w:p w:rsidR="00681A7C" w:rsidRDefault="00681A7C" w:rsidP="00681A7C">
    <w:pPr>
      <w:pStyle w:val="FooterTitle"/>
      <w:jc w:val="center"/>
    </w:pPr>
    <w:r>
      <w:t>All rights for this product belong to Methoda Computers Ltd.</w:t>
    </w:r>
  </w:p>
  <w:p w:rsidR="00681A7C" w:rsidRDefault="00681A7C" w:rsidP="00681A7C">
    <w:pPr>
      <w:pStyle w:val="FooterTitle"/>
      <w:jc w:val="center"/>
    </w:pPr>
    <w:r>
      <w:t>This product is for private use only</w:t>
    </w:r>
  </w:p>
  <w:p w:rsidR="00681A7C" w:rsidRDefault="00681A7C" w:rsidP="00681A7C">
    <w:pPr>
      <w:pStyle w:val="FooterTitle"/>
      <w:jc w:val="center"/>
    </w:pPr>
    <w:r>
      <w:t>Commercial use requires MethodA licensing</w:t>
    </w:r>
    <w:bookmarkStart w:id="33" w:name="_GoBack"/>
    <w:bookmarkEnd w:id="3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EB" w:rsidRDefault="00F34FEB" w:rsidP="00F34FEB">
    <w:pPr>
      <w:pStyle w:val="FooterTitle"/>
      <w:jc w:val="center"/>
      <w:rPr>
        <w:b/>
        <w:bCs/>
      </w:rPr>
    </w:pPr>
    <w:r>
      <w:rPr>
        <w:b/>
        <w:bCs/>
      </w:rPr>
      <w:t>- &lt;Classification&gt; -</w:t>
    </w:r>
  </w:p>
  <w:p w:rsidR="00F34FEB" w:rsidRDefault="00F34FEB" w:rsidP="00F34FEB">
    <w:pPr>
      <w:pStyle w:val="FooterTitle"/>
      <w:jc w:val="center"/>
    </w:pPr>
    <w:r>
      <w:t>All rights for this product belong to Methoda Computers Ltd.</w:t>
    </w:r>
  </w:p>
  <w:p w:rsidR="00F34FEB" w:rsidRDefault="00F34FEB" w:rsidP="00F34FEB">
    <w:pPr>
      <w:pStyle w:val="FooterTitle"/>
      <w:jc w:val="center"/>
    </w:pPr>
    <w:r>
      <w:t>This product is for private use only</w:t>
    </w:r>
  </w:p>
  <w:p w:rsidR="00F34FEB" w:rsidRDefault="00F34FEB" w:rsidP="00F34FEB">
    <w:pPr>
      <w:pStyle w:val="FooterTitle"/>
      <w:jc w:val="center"/>
    </w:pPr>
    <w:r>
      <w:t>Commercial use requires MethodA licensing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36" w:rsidRDefault="00E75436" w:rsidP="001B29DC">
      <w:r>
        <w:separator/>
      </w:r>
    </w:p>
  </w:footnote>
  <w:footnote w:type="continuationSeparator" w:id="0">
    <w:p w:rsidR="00E75436" w:rsidRDefault="00E75436" w:rsidP="001B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EB" w:rsidRDefault="00F34FE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36" w:rsidRDefault="00681A7C" w:rsidP="00E75436">
    <w:pPr>
      <w:pStyle w:val="HeaderTitle"/>
    </w:pPr>
    <w:r>
      <w:fldChar w:fldCharType="begin"/>
    </w:r>
    <w:r>
      <w:instrText xml:space="preserve"> TITLE  \* MERGEFORMAT </w:instrText>
    </w:r>
    <w:r>
      <w:fldChar w:fldCharType="separate"/>
    </w:r>
    <w:r w:rsidR="00E75436">
      <w:t>RFCON - REQUEST FOR CONSULTANT</w:t>
    </w:r>
    <w:r>
      <w:fldChar w:fldCharType="end"/>
    </w:r>
    <w:r w:rsidR="00E75436">
      <w:tab/>
    </w:r>
    <w:r w:rsidR="00E75436">
      <w:rPr>
        <w:b/>
        <w:bCs/>
      </w:rPr>
      <w:fldChar w:fldCharType="begin"/>
    </w:r>
    <w:r w:rsidR="00E75436">
      <w:rPr>
        <w:b/>
        <w:bCs/>
      </w:rPr>
      <w:instrText xml:space="preserve"> DOCPROPERTY "Company"  \* MERGEFORMAT </w:instrText>
    </w:r>
    <w:r w:rsidR="00E75436">
      <w:rPr>
        <w:b/>
        <w:bCs/>
      </w:rPr>
      <w:fldChar w:fldCharType="separate"/>
    </w:r>
    <w:r w:rsidR="00E75436">
      <w:rPr>
        <w:b/>
        <w:bCs/>
      </w:rPr>
      <w:t>&lt;Organization&gt;</w:t>
    </w:r>
    <w:r w:rsidR="00E75436">
      <w:rPr>
        <w:b/>
        <w:bCs/>
      </w:rPr>
      <w:fldChar w:fldCharType="end"/>
    </w:r>
    <w:r w:rsidR="00E75436">
      <w:tab/>
      <w:t xml:space="preserve"> </w:t>
    </w:r>
    <w:r w:rsidR="00E75436">
      <w:fldChar w:fldCharType="begin"/>
    </w:r>
    <w:r w:rsidR="00E75436">
      <w:instrText xml:space="preserve"> SAVEDATE \@ "dd/MM/yyyy" \* MERGEFORMAT </w:instrText>
    </w:r>
    <w:r w:rsidR="00E75436">
      <w:fldChar w:fldCharType="separate"/>
    </w:r>
    <w:r>
      <w:rPr>
        <w:noProof/>
      </w:rPr>
      <w:t>05/04/2015</w:t>
    </w:r>
    <w:r w:rsidR="00E75436">
      <w:fldChar w:fldCharType="end"/>
    </w:r>
  </w:p>
  <w:p w:rsidR="00E75436" w:rsidRDefault="00681A7C" w:rsidP="00E75436">
    <w:pPr>
      <w:pStyle w:val="HeaderTitle"/>
    </w:pPr>
    <w:r>
      <w:fldChar w:fldCharType="begin"/>
    </w:r>
    <w:r>
      <w:instrText xml:space="preserve"> SUBJECT  \* MERGEFORMAT </w:instrText>
    </w:r>
    <w:r>
      <w:fldChar w:fldCharType="separate"/>
    </w:r>
    <w:r w:rsidR="00E75436">
      <w:t>&lt;System Name&gt;</w:t>
    </w:r>
    <w:r>
      <w:fldChar w:fldCharType="end"/>
    </w:r>
    <w:r w:rsidR="00E75436">
      <w:tab/>
    </w:r>
    <w:r w:rsidR="00E75436">
      <w:tab/>
      <w:t>Version: M.N</w:t>
    </w:r>
  </w:p>
  <w:p w:rsidR="00E75436" w:rsidRDefault="00681A7C" w:rsidP="00E75436">
    <w:pPr>
      <w:pStyle w:val="HeaderTitle"/>
    </w:pPr>
    <w:r>
      <w:fldChar w:fldCharType="begin"/>
    </w:r>
    <w:r>
      <w:instrText xml:space="preserve"> FILENAME  \* MERGEFORMAT </w:instrText>
    </w:r>
    <w:r>
      <w:fldChar w:fldCharType="separate"/>
    </w:r>
    <w:r w:rsidR="00F34FEB">
      <w:rPr>
        <w:noProof/>
      </w:rPr>
      <w:t>e_rfp_wdoc03</w:t>
    </w:r>
    <w:r>
      <w:rPr>
        <w:noProof/>
      </w:rPr>
      <w:fldChar w:fldCharType="end"/>
    </w:r>
    <w:r w:rsidR="00E75436">
      <w:tab/>
    </w:r>
    <w:r w:rsidR="00E75436">
      <w:rPr>
        <w:b/>
        <w:bCs/>
      </w:rPr>
      <w:fldChar w:fldCharType="begin"/>
    </w:r>
    <w:r w:rsidR="00E75436">
      <w:rPr>
        <w:b/>
        <w:bCs/>
      </w:rPr>
      <w:instrText xml:space="preserve"> STYLEREF \t "Heading 1" \* MERGEFORMAT </w:instrText>
    </w:r>
    <w:r w:rsidR="00E75436">
      <w:rPr>
        <w:b/>
        <w:bCs/>
      </w:rPr>
      <w:fldChar w:fldCharType="separate"/>
    </w:r>
    <w:r>
      <w:rPr>
        <w:b/>
        <w:bCs/>
        <w:noProof/>
      </w:rPr>
      <w:t>0. Administration</w:t>
    </w:r>
    <w:r w:rsidR="00E75436">
      <w:rPr>
        <w:b/>
        <w:bCs/>
      </w:rPr>
      <w:fldChar w:fldCharType="end"/>
    </w:r>
    <w:r w:rsidR="00E75436">
      <w:tab/>
      <w:t xml:space="preserve">Page </w:t>
    </w:r>
    <w:r w:rsidR="00E75436">
      <w:fldChar w:fldCharType="begin"/>
    </w:r>
    <w:r w:rsidR="00E75436">
      <w:instrText xml:space="preserve"> PAGE </w:instrText>
    </w:r>
    <w:r w:rsidR="00E75436">
      <w:fldChar w:fldCharType="separate"/>
    </w:r>
    <w:r>
      <w:rPr>
        <w:noProof/>
      </w:rPr>
      <w:t>2</w:t>
    </w:r>
    <w:r w:rsidR="00E75436">
      <w:fldChar w:fldCharType="end"/>
    </w:r>
    <w:r w:rsidR="00E75436">
      <w:t xml:space="preserve"> of </w:t>
    </w:r>
    <w:r>
      <w:fldChar w:fldCharType="begin"/>
    </w:r>
    <w:r>
      <w:instrText xml:space="preserve"> NUMPAGES </w:instrText>
    </w:r>
    <w:r>
      <w:fldChar w:fldCharType="separate"/>
    </w:r>
    <w:r>
      <w:rPr>
        <w:noProof/>
      </w:rPr>
      <w:t>11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36" w:rsidRDefault="00E75436" w:rsidP="00E75436">
    <w:pPr>
      <w:pStyle w:val="HeaderTitle"/>
    </w:pPr>
    <w:r>
      <w:t>MethodA</w:t>
    </w:r>
    <w:r>
      <w:tab/>
    </w:r>
    <w:r>
      <w:tab/>
      <w:t xml:space="preserve">Version: </w:t>
    </w:r>
    <w:r>
      <w:fldChar w:fldCharType="begin"/>
    </w:r>
    <w:r>
      <w:instrText xml:space="preserve"> COMMENTS   \* MERGEFORMAT </w:instrText>
    </w:r>
    <w:r>
      <w:fldChar w:fldCharType="end"/>
    </w:r>
    <w: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4BE863EC"/>
    <w:lvl w:ilvl="0" w:tplc="05560FDA">
      <w:start w:val="1"/>
      <w:numFmt w:val="lowerLetter"/>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E9C276F4"/>
    <w:lvl w:ilvl="0" w:tplc="B8E26782">
      <w:start w:val="1"/>
      <w:numFmt w:val="bullet"/>
      <w:pStyle w:val="Remark3"/>
      <w:lvlText w:val=""/>
      <w:lvlJc w:val="left"/>
      <w:pPr>
        <w:ind w:left="1443" w:hanging="360"/>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C8F26D54"/>
    <w:lvl w:ilvl="0" w:tplc="49FEFC18">
      <w:start w:val="1"/>
      <w:numFmt w:val="bullet"/>
      <w:pStyle w:val="Remark2"/>
      <w:lvlText w:val=""/>
      <w:lvlJc w:val="left"/>
      <w:pPr>
        <w:ind w:left="108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4">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5">
    <w:nsid w:val="0D0B7EB8"/>
    <w:multiLevelType w:val="multilevel"/>
    <w:tmpl w:val="87E288F2"/>
    <w:lvl w:ilvl="0">
      <w:start w:val="1"/>
      <w:numFmt w:val="decimal"/>
      <w:pStyle w:val="NumberList"/>
      <w:lvlText w:val="%1."/>
      <w:lvlJc w:val="left"/>
      <w:pPr>
        <w:tabs>
          <w:tab w:val="num" w:pos="397"/>
        </w:tabs>
        <w:ind w:left="397" w:right="39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8">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9">
    <w:nsid w:val="1C313556"/>
    <w:multiLevelType w:val="hybridMultilevel"/>
    <w:tmpl w:val="3BA22C6A"/>
    <w:lvl w:ilvl="0" w:tplc="D59A11FA">
      <w:start w:val="1"/>
      <w:numFmt w:val="bullet"/>
      <w:pStyle w:val="Remark4"/>
      <w:lvlText w:val=""/>
      <w:lvlJc w:val="left"/>
      <w:pPr>
        <w:ind w:left="1800" w:hanging="360"/>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1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1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2">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tentative="1">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2FA5F0B"/>
    <w:multiLevelType w:val="multilevel"/>
    <w:tmpl w:val="7A6E5D32"/>
    <w:lvl w:ilvl="0">
      <w:start w:val="1"/>
      <w:numFmt w:val="lowerLetter"/>
      <w:pStyle w:val="AlphaList0"/>
      <w:lvlText w:val="%1."/>
      <w:lvlJc w:val="left"/>
      <w:pPr>
        <w:tabs>
          <w:tab w:val="num" w:pos="357"/>
        </w:tabs>
        <w:ind w:left="357" w:hanging="357"/>
      </w:pPr>
      <w:rPr>
        <w:rFonts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6">
    <w:nsid w:val="3CD62704"/>
    <w:multiLevelType w:val="hybridMultilevel"/>
    <w:tmpl w:val="AF42EC60"/>
    <w:lvl w:ilvl="0" w:tplc="B0D67216">
      <w:start w:val="1"/>
      <w:numFmt w:val="bullet"/>
      <w:pStyle w:val="Remark1"/>
      <w:lvlText w:val=""/>
      <w:lvlJc w:val="left"/>
      <w:pPr>
        <w:ind w:left="717" w:hanging="360"/>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7">
    <w:nsid w:val="41157488"/>
    <w:multiLevelType w:val="hybridMultilevel"/>
    <w:tmpl w:val="975E5EC8"/>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8">
    <w:nsid w:val="42D0646D"/>
    <w:multiLevelType w:val="hybridMultilevel"/>
    <w:tmpl w:val="663CA130"/>
    <w:lvl w:ilvl="0" w:tplc="B2ECB8CE">
      <w:start w:val="1"/>
      <w:numFmt w:val="lowerLetter"/>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0">
    <w:nsid w:val="46BE2B8F"/>
    <w:multiLevelType w:val="multilevel"/>
    <w:tmpl w:val="02D05B36"/>
    <w:lvl w:ilvl="0">
      <w:start w:val="1"/>
      <w:numFmt w:val="decimal"/>
      <w:pStyle w:val="Outline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4.1.1.1"/>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21">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22">
    <w:nsid w:val="4FEA1D32"/>
    <w:multiLevelType w:val="multilevel"/>
    <w:tmpl w:val="70B2BC9A"/>
    <w:lvl w:ilvl="0">
      <w:start w:val="1"/>
      <w:numFmt w:val="lowerLetter"/>
      <w:pStyle w:val="AlphaList1"/>
      <w:lvlText w:val="%1."/>
      <w:lvlJc w:val="left"/>
      <w:pPr>
        <w:tabs>
          <w:tab w:val="num" w:pos="720"/>
        </w:tabs>
        <w:ind w:left="720"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24">
    <w:nsid w:val="57A80C9D"/>
    <w:multiLevelType w:val="hybridMultilevel"/>
    <w:tmpl w:val="4CB8A022"/>
    <w:lvl w:ilvl="0" w:tplc="9674555A">
      <w:start w:val="1"/>
      <w:numFmt w:val="bullet"/>
      <w:pStyle w:val="Remark0"/>
      <w:lvlText w:val=""/>
      <w:lvlJc w:val="left"/>
      <w:pPr>
        <w:ind w:left="360" w:hanging="360"/>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25">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6">
    <w:nsid w:val="5E6D58D3"/>
    <w:multiLevelType w:val="multilevel"/>
    <w:tmpl w:val="60B20348"/>
    <w:lvl w:ilvl="0">
      <w:start w:val="1"/>
      <w:numFmt w:val="lowerLetter"/>
      <w:pStyle w:val="AlphaList4"/>
      <w:lvlText w:val="%1."/>
      <w:lvlJc w:val="left"/>
      <w:pPr>
        <w:tabs>
          <w:tab w:val="num" w:pos="1854"/>
        </w:tabs>
        <w:ind w:left="1854" w:hanging="414"/>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44D1859"/>
    <w:multiLevelType w:val="multilevel"/>
    <w:tmpl w:val="5E64A5AE"/>
    <w:lvl w:ilvl="0">
      <w:start w:val="1"/>
      <w:numFmt w:val="lowerLetter"/>
      <w:pStyle w:val="AlphaList2"/>
      <w:lvlText w:val="%1."/>
      <w:lvlJc w:val="left"/>
      <w:pPr>
        <w:tabs>
          <w:tab w:val="num" w:pos="1083"/>
        </w:tabs>
        <w:ind w:left="1083"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29">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3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31">
    <w:nsid w:val="7C261430"/>
    <w:multiLevelType w:val="multilevel"/>
    <w:tmpl w:val="D158BB84"/>
    <w:lvl w:ilvl="0">
      <w:start w:val="1"/>
      <w:numFmt w:val="lowerLetter"/>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4"/>
  </w:num>
  <w:num w:numId="2">
    <w:abstractNumId w:val="22"/>
  </w:num>
  <w:num w:numId="3">
    <w:abstractNumId w:val="27"/>
  </w:num>
  <w:num w:numId="4">
    <w:abstractNumId w:val="31"/>
  </w:num>
  <w:num w:numId="5">
    <w:abstractNumId w:val="26"/>
  </w:num>
  <w:num w:numId="6">
    <w:abstractNumId w:val="18"/>
  </w:num>
  <w:num w:numId="7">
    <w:abstractNumId w:val="3"/>
  </w:num>
  <w:num w:numId="8">
    <w:abstractNumId w:val="8"/>
  </w:num>
  <w:num w:numId="9">
    <w:abstractNumId w:val="13"/>
  </w:num>
  <w:num w:numId="10">
    <w:abstractNumId w:val="12"/>
  </w:num>
  <w:num w:numId="11">
    <w:abstractNumId w:val="4"/>
  </w:num>
  <w:num w:numId="12">
    <w:abstractNumId w:val="10"/>
  </w:num>
  <w:num w:numId="13">
    <w:abstractNumId w:val="21"/>
  </w:num>
  <w:num w:numId="14">
    <w:abstractNumId w:val="7"/>
  </w:num>
  <w:num w:numId="15">
    <w:abstractNumId w:val="19"/>
  </w:num>
  <w:num w:numId="16">
    <w:abstractNumId w:val="32"/>
  </w:num>
  <w:num w:numId="17">
    <w:abstractNumId w:val="6"/>
  </w:num>
  <w:num w:numId="18">
    <w:abstractNumId w:val="28"/>
  </w:num>
  <w:num w:numId="19">
    <w:abstractNumId w:val="15"/>
  </w:num>
  <w:num w:numId="20">
    <w:abstractNumId w:val="20"/>
  </w:num>
  <w:num w:numId="21">
    <w:abstractNumId w:val="23"/>
  </w:num>
  <w:num w:numId="22">
    <w:abstractNumId w:val="29"/>
  </w:num>
  <w:num w:numId="23">
    <w:abstractNumId w:val="24"/>
  </w:num>
  <w:num w:numId="24">
    <w:abstractNumId w:val="16"/>
  </w:num>
  <w:num w:numId="25">
    <w:abstractNumId w:val="2"/>
  </w:num>
  <w:num w:numId="26">
    <w:abstractNumId w:val="1"/>
  </w:num>
  <w:num w:numId="27">
    <w:abstractNumId w:val="9"/>
  </w:num>
  <w:num w:numId="28">
    <w:abstractNumId w:val="17"/>
  </w:num>
  <w:num w:numId="29">
    <w:abstractNumId w:val="0"/>
  </w:num>
  <w:num w:numId="30">
    <w:abstractNumId w:val="11"/>
  </w:num>
  <w:num w:numId="31">
    <w:abstractNumId w:val="25"/>
  </w:num>
  <w:num w:numId="32">
    <w:abstractNumId w:val="30"/>
  </w:num>
  <w:num w:numId="33">
    <w:abstractNumId w:val="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attachedTemplate r:id="rId1"/>
  <w:linkStyle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36"/>
    <w:rsid w:val="00001558"/>
    <w:rsid w:val="00002323"/>
    <w:rsid w:val="00006AA1"/>
    <w:rsid w:val="00010BF9"/>
    <w:rsid w:val="00011363"/>
    <w:rsid w:val="000119CC"/>
    <w:rsid w:val="00013EF9"/>
    <w:rsid w:val="00015869"/>
    <w:rsid w:val="00020946"/>
    <w:rsid w:val="0002212F"/>
    <w:rsid w:val="000232A6"/>
    <w:rsid w:val="000258B9"/>
    <w:rsid w:val="000262C9"/>
    <w:rsid w:val="000273D1"/>
    <w:rsid w:val="00035411"/>
    <w:rsid w:val="0003553F"/>
    <w:rsid w:val="00035AC3"/>
    <w:rsid w:val="0003614F"/>
    <w:rsid w:val="00037155"/>
    <w:rsid w:val="000400D6"/>
    <w:rsid w:val="00043D7F"/>
    <w:rsid w:val="00050CC7"/>
    <w:rsid w:val="000529F4"/>
    <w:rsid w:val="000556DD"/>
    <w:rsid w:val="000573FA"/>
    <w:rsid w:val="00060917"/>
    <w:rsid w:val="00066E91"/>
    <w:rsid w:val="000735AE"/>
    <w:rsid w:val="00073DF4"/>
    <w:rsid w:val="00076956"/>
    <w:rsid w:val="00083510"/>
    <w:rsid w:val="00085E92"/>
    <w:rsid w:val="00087A27"/>
    <w:rsid w:val="00087FB2"/>
    <w:rsid w:val="000927E4"/>
    <w:rsid w:val="00096C77"/>
    <w:rsid w:val="00097964"/>
    <w:rsid w:val="000A3325"/>
    <w:rsid w:val="000B2F48"/>
    <w:rsid w:val="000B300E"/>
    <w:rsid w:val="000B449B"/>
    <w:rsid w:val="000C0B5F"/>
    <w:rsid w:val="000C2C04"/>
    <w:rsid w:val="000C445E"/>
    <w:rsid w:val="000C46B6"/>
    <w:rsid w:val="000D168E"/>
    <w:rsid w:val="000D2CD1"/>
    <w:rsid w:val="000D3D2E"/>
    <w:rsid w:val="000D4F3D"/>
    <w:rsid w:val="000D5037"/>
    <w:rsid w:val="000D5866"/>
    <w:rsid w:val="000D5FD6"/>
    <w:rsid w:val="000E2440"/>
    <w:rsid w:val="000E3147"/>
    <w:rsid w:val="000E370F"/>
    <w:rsid w:val="000E4B1D"/>
    <w:rsid w:val="000E6CBF"/>
    <w:rsid w:val="000F4714"/>
    <w:rsid w:val="000F47E0"/>
    <w:rsid w:val="000F7FED"/>
    <w:rsid w:val="00102128"/>
    <w:rsid w:val="00104C76"/>
    <w:rsid w:val="00105A8C"/>
    <w:rsid w:val="00110022"/>
    <w:rsid w:val="00110240"/>
    <w:rsid w:val="001168EE"/>
    <w:rsid w:val="00116C82"/>
    <w:rsid w:val="00120EDA"/>
    <w:rsid w:val="001213F8"/>
    <w:rsid w:val="00121BBD"/>
    <w:rsid w:val="00122B44"/>
    <w:rsid w:val="001236EC"/>
    <w:rsid w:val="00125FF6"/>
    <w:rsid w:val="0012613F"/>
    <w:rsid w:val="00126B66"/>
    <w:rsid w:val="0012792E"/>
    <w:rsid w:val="00130E7A"/>
    <w:rsid w:val="001316EA"/>
    <w:rsid w:val="001320FE"/>
    <w:rsid w:val="001354E2"/>
    <w:rsid w:val="00143142"/>
    <w:rsid w:val="00144EA2"/>
    <w:rsid w:val="00146E5B"/>
    <w:rsid w:val="001475DC"/>
    <w:rsid w:val="001524EC"/>
    <w:rsid w:val="001539D9"/>
    <w:rsid w:val="00155953"/>
    <w:rsid w:val="00155C2D"/>
    <w:rsid w:val="0015748B"/>
    <w:rsid w:val="0016135E"/>
    <w:rsid w:val="00162734"/>
    <w:rsid w:val="0016363D"/>
    <w:rsid w:val="00163656"/>
    <w:rsid w:val="001651B8"/>
    <w:rsid w:val="00170279"/>
    <w:rsid w:val="00170C43"/>
    <w:rsid w:val="00172143"/>
    <w:rsid w:val="00176923"/>
    <w:rsid w:val="00177B42"/>
    <w:rsid w:val="00177E95"/>
    <w:rsid w:val="0018050A"/>
    <w:rsid w:val="001838E0"/>
    <w:rsid w:val="00183941"/>
    <w:rsid w:val="00185D4F"/>
    <w:rsid w:val="00195FD8"/>
    <w:rsid w:val="001A0610"/>
    <w:rsid w:val="001A10A9"/>
    <w:rsid w:val="001A1ED1"/>
    <w:rsid w:val="001A4C59"/>
    <w:rsid w:val="001B205E"/>
    <w:rsid w:val="001B240C"/>
    <w:rsid w:val="001B29DC"/>
    <w:rsid w:val="001B45A9"/>
    <w:rsid w:val="001B5C05"/>
    <w:rsid w:val="001C0233"/>
    <w:rsid w:val="001D08D8"/>
    <w:rsid w:val="001D501D"/>
    <w:rsid w:val="001D55CF"/>
    <w:rsid w:val="001D6D89"/>
    <w:rsid w:val="001D7EA7"/>
    <w:rsid w:val="001E334F"/>
    <w:rsid w:val="001E6601"/>
    <w:rsid w:val="001F0CA1"/>
    <w:rsid w:val="001F51B0"/>
    <w:rsid w:val="001F697D"/>
    <w:rsid w:val="00200E4F"/>
    <w:rsid w:val="00201A1D"/>
    <w:rsid w:val="002054D5"/>
    <w:rsid w:val="002064C4"/>
    <w:rsid w:val="00212155"/>
    <w:rsid w:val="0021358C"/>
    <w:rsid w:val="0021436A"/>
    <w:rsid w:val="00221962"/>
    <w:rsid w:val="002229CA"/>
    <w:rsid w:val="002254E7"/>
    <w:rsid w:val="00234684"/>
    <w:rsid w:val="002357F1"/>
    <w:rsid w:val="00236531"/>
    <w:rsid w:val="00237837"/>
    <w:rsid w:val="00237B75"/>
    <w:rsid w:val="0024411A"/>
    <w:rsid w:val="00244B76"/>
    <w:rsid w:val="00247179"/>
    <w:rsid w:val="002516CB"/>
    <w:rsid w:val="00256A33"/>
    <w:rsid w:val="00260CDB"/>
    <w:rsid w:val="00261CC4"/>
    <w:rsid w:val="00267AF4"/>
    <w:rsid w:val="00285A48"/>
    <w:rsid w:val="00286733"/>
    <w:rsid w:val="0029044A"/>
    <w:rsid w:val="002905AF"/>
    <w:rsid w:val="00291015"/>
    <w:rsid w:val="0029444A"/>
    <w:rsid w:val="0029475C"/>
    <w:rsid w:val="00294FC9"/>
    <w:rsid w:val="00296774"/>
    <w:rsid w:val="00296A98"/>
    <w:rsid w:val="002A2AF6"/>
    <w:rsid w:val="002A5614"/>
    <w:rsid w:val="002A7793"/>
    <w:rsid w:val="002A794D"/>
    <w:rsid w:val="002B0990"/>
    <w:rsid w:val="002B3D16"/>
    <w:rsid w:val="002B414C"/>
    <w:rsid w:val="002B4560"/>
    <w:rsid w:val="002B476B"/>
    <w:rsid w:val="002B5315"/>
    <w:rsid w:val="002C01AE"/>
    <w:rsid w:val="002C642C"/>
    <w:rsid w:val="002C76EF"/>
    <w:rsid w:val="002D0673"/>
    <w:rsid w:val="002D2745"/>
    <w:rsid w:val="002D2DA7"/>
    <w:rsid w:val="002D3457"/>
    <w:rsid w:val="002D357F"/>
    <w:rsid w:val="002D5A59"/>
    <w:rsid w:val="002D6C9C"/>
    <w:rsid w:val="002E2B35"/>
    <w:rsid w:val="002E2F08"/>
    <w:rsid w:val="002E4632"/>
    <w:rsid w:val="002E4AA1"/>
    <w:rsid w:val="002E5D45"/>
    <w:rsid w:val="002F0051"/>
    <w:rsid w:val="002F13B8"/>
    <w:rsid w:val="002F401E"/>
    <w:rsid w:val="002F4FE4"/>
    <w:rsid w:val="0030358B"/>
    <w:rsid w:val="00306636"/>
    <w:rsid w:val="003110B1"/>
    <w:rsid w:val="00312158"/>
    <w:rsid w:val="00313226"/>
    <w:rsid w:val="003173B1"/>
    <w:rsid w:val="00317DC0"/>
    <w:rsid w:val="00317E05"/>
    <w:rsid w:val="003208B1"/>
    <w:rsid w:val="00325333"/>
    <w:rsid w:val="00325DA9"/>
    <w:rsid w:val="0032763A"/>
    <w:rsid w:val="00327B09"/>
    <w:rsid w:val="00330458"/>
    <w:rsid w:val="003332AA"/>
    <w:rsid w:val="003333FB"/>
    <w:rsid w:val="00335540"/>
    <w:rsid w:val="00342CA1"/>
    <w:rsid w:val="00343A68"/>
    <w:rsid w:val="00346D75"/>
    <w:rsid w:val="003501CA"/>
    <w:rsid w:val="003506D5"/>
    <w:rsid w:val="003547FE"/>
    <w:rsid w:val="00357A5F"/>
    <w:rsid w:val="0036408C"/>
    <w:rsid w:val="0036421C"/>
    <w:rsid w:val="00366B7F"/>
    <w:rsid w:val="00367F2B"/>
    <w:rsid w:val="00370FCA"/>
    <w:rsid w:val="00373952"/>
    <w:rsid w:val="00376B26"/>
    <w:rsid w:val="00376FE2"/>
    <w:rsid w:val="00382E78"/>
    <w:rsid w:val="00383CC1"/>
    <w:rsid w:val="00384618"/>
    <w:rsid w:val="00385D39"/>
    <w:rsid w:val="0039046D"/>
    <w:rsid w:val="00391E49"/>
    <w:rsid w:val="0039586B"/>
    <w:rsid w:val="003A0032"/>
    <w:rsid w:val="003A5A13"/>
    <w:rsid w:val="003A633A"/>
    <w:rsid w:val="003A6B9A"/>
    <w:rsid w:val="003B030C"/>
    <w:rsid w:val="003B0C9F"/>
    <w:rsid w:val="003B4793"/>
    <w:rsid w:val="003B4894"/>
    <w:rsid w:val="003B5A21"/>
    <w:rsid w:val="003C0081"/>
    <w:rsid w:val="003C0302"/>
    <w:rsid w:val="003C0AF0"/>
    <w:rsid w:val="003C248D"/>
    <w:rsid w:val="003C45B5"/>
    <w:rsid w:val="003C4EAD"/>
    <w:rsid w:val="003C5E49"/>
    <w:rsid w:val="003D118F"/>
    <w:rsid w:val="003D40F8"/>
    <w:rsid w:val="003E1515"/>
    <w:rsid w:val="003E3C85"/>
    <w:rsid w:val="003E48EA"/>
    <w:rsid w:val="003E6A08"/>
    <w:rsid w:val="003F0995"/>
    <w:rsid w:val="003F4197"/>
    <w:rsid w:val="003F58C0"/>
    <w:rsid w:val="003F7B7E"/>
    <w:rsid w:val="00401897"/>
    <w:rsid w:val="00414040"/>
    <w:rsid w:val="004141CC"/>
    <w:rsid w:val="00415824"/>
    <w:rsid w:val="0042054E"/>
    <w:rsid w:val="004220A4"/>
    <w:rsid w:val="00422E07"/>
    <w:rsid w:val="00423CC7"/>
    <w:rsid w:val="00426E22"/>
    <w:rsid w:val="004302F8"/>
    <w:rsid w:val="00430DB0"/>
    <w:rsid w:val="004329AA"/>
    <w:rsid w:val="00435622"/>
    <w:rsid w:val="00435FA0"/>
    <w:rsid w:val="00436DA8"/>
    <w:rsid w:val="00441882"/>
    <w:rsid w:val="00443630"/>
    <w:rsid w:val="00443A57"/>
    <w:rsid w:val="00443B76"/>
    <w:rsid w:val="00445BC3"/>
    <w:rsid w:val="00450364"/>
    <w:rsid w:val="00450ED4"/>
    <w:rsid w:val="00451345"/>
    <w:rsid w:val="00451F05"/>
    <w:rsid w:val="00454CA9"/>
    <w:rsid w:val="004565C6"/>
    <w:rsid w:val="004605CB"/>
    <w:rsid w:val="00461A49"/>
    <w:rsid w:val="0046430D"/>
    <w:rsid w:val="004646FE"/>
    <w:rsid w:val="004649AF"/>
    <w:rsid w:val="00467493"/>
    <w:rsid w:val="00467C1F"/>
    <w:rsid w:val="0047200D"/>
    <w:rsid w:val="00476818"/>
    <w:rsid w:val="00480ACA"/>
    <w:rsid w:val="004825CD"/>
    <w:rsid w:val="00482F50"/>
    <w:rsid w:val="00484FEA"/>
    <w:rsid w:val="00485528"/>
    <w:rsid w:val="00485829"/>
    <w:rsid w:val="00487D8B"/>
    <w:rsid w:val="00490E73"/>
    <w:rsid w:val="00494685"/>
    <w:rsid w:val="004A0C5B"/>
    <w:rsid w:val="004A21D8"/>
    <w:rsid w:val="004A2354"/>
    <w:rsid w:val="004A5842"/>
    <w:rsid w:val="004A6BC0"/>
    <w:rsid w:val="004B0E00"/>
    <w:rsid w:val="004B16F7"/>
    <w:rsid w:val="004C0747"/>
    <w:rsid w:val="004C1AF4"/>
    <w:rsid w:val="004C2AC8"/>
    <w:rsid w:val="004D3B72"/>
    <w:rsid w:val="004D410C"/>
    <w:rsid w:val="004E0AF6"/>
    <w:rsid w:val="004E281F"/>
    <w:rsid w:val="004E4AA0"/>
    <w:rsid w:val="004F1F64"/>
    <w:rsid w:val="004F2548"/>
    <w:rsid w:val="004F727A"/>
    <w:rsid w:val="00503642"/>
    <w:rsid w:val="00503DC3"/>
    <w:rsid w:val="005042E8"/>
    <w:rsid w:val="00506F27"/>
    <w:rsid w:val="005132C0"/>
    <w:rsid w:val="00520EA3"/>
    <w:rsid w:val="00521DF4"/>
    <w:rsid w:val="005347BE"/>
    <w:rsid w:val="00545E6C"/>
    <w:rsid w:val="00550F4C"/>
    <w:rsid w:val="00554433"/>
    <w:rsid w:val="00560FD2"/>
    <w:rsid w:val="005611D7"/>
    <w:rsid w:val="00564D4E"/>
    <w:rsid w:val="00565505"/>
    <w:rsid w:val="00565AAF"/>
    <w:rsid w:val="00565EC6"/>
    <w:rsid w:val="005663B4"/>
    <w:rsid w:val="00571A98"/>
    <w:rsid w:val="0057423E"/>
    <w:rsid w:val="005760AF"/>
    <w:rsid w:val="00577965"/>
    <w:rsid w:val="00580305"/>
    <w:rsid w:val="00580963"/>
    <w:rsid w:val="0058269C"/>
    <w:rsid w:val="00584172"/>
    <w:rsid w:val="00585CF1"/>
    <w:rsid w:val="0059000B"/>
    <w:rsid w:val="00590264"/>
    <w:rsid w:val="005916F8"/>
    <w:rsid w:val="00591DF1"/>
    <w:rsid w:val="0059436C"/>
    <w:rsid w:val="005956B6"/>
    <w:rsid w:val="00597570"/>
    <w:rsid w:val="005A10DF"/>
    <w:rsid w:val="005A3D45"/>
    <w:rsid w:val="005A7555"/>
    <w:rsid w:val="005B5694"/>
    <w:rsid w:val="005B6F04"/>
    <w:rsid w:val="005C0964"/>
    <w:rsid w:val="005C361E"/>
    <w:rsid w:val="005C69EC"/>
    <w:rsid w:val="005C6C17"/>
    <w:rsid w:val="005D1CC6"/>
    <w:rsid w:val="005D28DF"/>
    <w:rsid w:val="005D3FD7"/>
    <w:rsid w:val="005D433C"/>
    <w:rsid w:val="005D6F2F"/>
    <w:rsid w:val="005D7462"/>
    <w:rsid w:val="005E23B0"/>
    <w:rsid w:val="005E655B"/>
    <w:rsid w:val="005E72E7"/>
    <w:rsid w:val="005F1742"/>
    <w:rsid w:val="005F1890"/>
    <w:rsid w:val="005F1C38"/>
    <w:rsid w:val="005F3E3A"/>
    <w:rsid w:val="00600B5E"/>
    <w:rsid w:val="00603B65"/>
    <w:rsid w:val="00604E1C"/>
    <w:rsid w:val="006052A7"/>
    <w:rsid w:val="006163E0"/>
    <w:rsid w:val="00621C79"/>
    <w:rsid w:val="00622B55"/>
    <w:rsid w:val="00623FDD"/>
    <w:rsid w:val="00626C78"/>
    <w:rsid w:val="006277DC"/>
    <w:rsid w:val="006319B0"/>
    <w:rsid w:val="00632896"/>
    <w:rsid w:val="00635AE6"/>
    <w:rsid w:val="00636F4C"/>
    <w:rsid w:val="00640C23"/>
    <w:rsid w:val="00644D12"/>
    <w:rsid w:val="00646EBB"/>
    <w:rsid w:val="00650854"/>
    <w:rsid w:val="0065547D"/>
    <w:rsid w:val="00655BE6"/>
    <w:rsid w:val="00660978"/>
    <w:rsid w:val="006612DC"/>
    <w:rsid w:val="0066791F"/>
    <w:rsid w:val="0067035D"/>
    <w:rsid w:val="006724AC"/>
    <w:rsid w:val="00673459"/>
    <w:rsid w:val="006751F1"/>
    <w:rsid w:val="00681060"/>
    <w:rsid w:val="00681A7C"/>
    <w:rsid w:val="006842A1"/>
    <w:rsid w:val="0069198B"/>
    <w:rsid w:val="00695F31"/>
    <w:rsid w:val="006A1439"/>
    <w:rsid w:val="006A36AC"/>
    <w:rsid w:val="006A470E"/>
    <w:rsid w:val="006A6D21"/>
    <w:rsid w:val="006A75FE"/>
    <w:rsid w:val="006B0C2F"/>
    <w:rsid w:val="006B35E4"/>
    <w:rsid w:val="006B4447"/>
    <w:rsid w:val="006C0A2E"/>
    <w:rsid w:val="006C495B"/>
    <w:rsid w:val="006C5A2C"/>
    <w:rsid w:val="006C6ED3"/>
    <w:rsid w:val="006D68BA"/>
    <w:rsid w:val="006E1163"/>
    <w:rsid w:val="006E20EB"/>
    <w:rsid w:val="006E456E"/>
    <w:rsid w:val="006E7D9E"/>
    <w:rsid w:val="006F52D3"/>
    <w:rsid w:val="006F602C"/>
    <w:rsid w:val="00706A9F"/>
    <w:rsid w:val="0070750F"/>
    <w:rsid w:val="00710537"/>
    <w:rsid w:val="00725C03"/>
    <w:rsid w:val="00725E92"/>
    <w:rsid w:val="00726225"/>
    <w:rsid w:val="00735762"/>
    <w:rsid w:val="00735EED"/>
    <w:rsid w:val="00736B10"/>
    <w:rsid w:val="007430A0"/>
    <w:rsid w:val="00745222"/>
    <w:rsid w:val="0075004F"/>
    <w:rsid w:val="007536B3"/>
    <w:rsid w:val="00753FFD"/>
    <w:rsid w:val="00755569"/>
    <w:rsid w:val="00755F9F"/>
    <w:rsid w:val="00760665"/>
    <w:rsid w:val="007630CC"/>
    <w:rsid w:val="007671F2"/>
    <w:rsid w:val="00772E4B"/>
    <w:rsid w:val="007750BA"/>
    <w:rsid w:val="007755FB"/>
    <w:rsid w:val="00775E9C"/>
    <w:rsid w:val="00777F58"/>
    <w:rsid w:val="00781935"/>
    <w:rsid w:val="007839A1"/>
    <w:rsid w:val="00783FED"/>
    <w:rsid w:val="00790408"/>
    <w:rsid w:val="0079044E"/>
    <w:rsid w:val="007913C4"/>
    <w:rsid w:val="00793A9C"/>
    <w:rsid w:val="0079660F"/>
    <w:rsid w:val="007A0050"/>
    <w:rsid w:val="007A1EAB"/>
    <w:rsid w:val="007A60AA"/>
    <w:rsid w:val="007B0DA5"/>
    <w:rsid w:val="007B2B45"/>
    <w:rsid w:val="007B7C27"/>
    <w:rsid w:val="007C1E75"/>
    <w:rsid w:val="007C3C02"/>
    <w:rsid w:val="007D0148"/>
    <w:rsid w:val="007D0BB9"/>
    <w:rsid w:val="007D319D"/>
    <w:rsid w:val="007D4B3F"/>
    <w:rsid w:val="007D5325"/>
    <w:rsid w:val="007D5614"/>
    <w:rsid w:val="007D5761"/>
    <w:rsid w:val="007D68FF"/>
    <w:rsid w:val="007D7333"/>
    <w:rsid w:val="007E52B0"/>
    <w:rsid w:val="007E56C8"/>
    <w:rsid w:val="007E6B43"/>
    <w:rsid w:val="007E755B"/>
    <w:rsid w:val="007F1323"/>
    <w:rsid w:val="007F48A8"/>
    <w:rsid w:val="00803E16"/>
    <w:rsid w:val="008058AD"/>
    <w:rsid w:val="008072F5"/>
    <w:rsid w:val="0081206B"/>
    <w:rsid w:val="008205EB"/>
    <w:rsid w:val="00821A14"/>
    <w:rsid w:val="008222D7"/>
    <w:rsid w:val="0082302B"/>
    <w:rsid w:val="0082408D"/>
    <w:rsid w:val="00824C37"/>
    <w:rsid w:val="00824EE3"/>
    <w:rsid w:val="0083252B"/>
    <w:rsid w:val="00837450"/>
    <w:rsid w:val="00840555"/>
    <w:rsid w:val="008432B0"/>
    <w:rsid w:val="00847B00"/>
    <w:rsid w:val="00847D5A"/>
    <w:rsid w:val="00852247"/>
    <w:rsid w:val="008532E6"/>
    <w:rsid w:val="00853937"/>
    <w:rsid w:val="00853E0C"/>
    <w:rsid w:val="00856928"/>
    <w:rsid w:val="00857FA8"/>
    <w:rsid w:val="00861A65"/>
    <w:rsid w:val="008626DE"/>
    <w:rsid w:val="00863FD5"/>
    <w:rsid w:val="00864412"/>
    <w:rsid w:val="00864D78"/>
    <w:rsid w:val="0087326F"/>
    <w:rsid w:val="008748DA"/>
    <w:rsid w:val="00875579"/>
    <w:rsid w:val="00882399"/>
    <w:rsid w:val="00883F43"/>
    <w:rsid w:val="008840A8"/>
    <w:rsid w:val="0088766D"/>
    <w:rsid w:val="00892298"/>
    <w:rsid w:val="00892E66"/>
    <w:rsid w:val="00894187"/>
    <w:rsid w:val="00895B47"/>
    <w:rsid w:val="008A1DA9"/>
    <w:rsid w:val="008A7B10"/>
    <w:rsid w:val="008A7DBF"/>
    <w:rsid w:val="008B06D9"/>
    <w:rsid w:val="008B1D8D"/>
    <w:rsid w:val="008B56C2"/>
    <w:rsid w:val="008C061D"/>
    <w:rsid w:val="008C1BCD"/>
    <w:rsid w:val="008C3314"/>
    <w:rsid w:val="008C4799"/>
    <w:rsid w:val="008C5569"/>
    <w:rsid w:val="008C72F3"/>
    <w:rsid w:val="008D05B7"/>
    <w:rsid w:val="008D0803"/>
    <w:rsid w:val="008D7447"/>
    <w:rsid w:val="008E4FD9"/>
    <w:rsid w:val="008E5C7F"/>
    <w:rsid w:val="008E6166"/>
    <w:rsid w:val="008E6AC8"/>
    <w:rsid w:val="008F6200"/>
    <w:rsid w:val="008F69BC"/>
    <w:rsid w:val="008F79A9"/>
    <w:rsid w:val="009004A0"/>
    <w:rsid w:val="00904B52"/>
    <w:rsid w:val="00907FBA"/>
    <w:rsid w:val="00922235"/>
    <w:rsid w:val="00927453"/>
    <w:rsid w:val="00931818"/>
    <w:rsid w:val="00932AAD"/>
    <w:rsid w:val="00932ECF"/>
    <w:rsid w:val="009334AC"/>
    <w:rsid w:val="00934E09"/>
    <w:rsid w:val="00936235"/>
    <w:rsid w:val="009375E4"/>
    <w:rsid w:val="009378E4"/>
    <w:rsid w:val="00937BD4"/>
    <w:rsid w:val="00941E2E"/>
    <w:rsid w:val="009424AB"/>
    <w:rsid w:val="0094330D"/>
    <w:rsid w:val="009436C1"/>
    <w:rsid w:val="00943918"/>
    <w:rsid w:val="009445A1"/>
    <w:rsid w:val="0095114B"/>
    <w:rsid w:val="00954525"/>
    <w:rsid w:val="009600A1"/>
    <w:rsid w:val="00965D51"/>
    <w:rsid w:val="00966D80"/>
    <w:rsid w:val="009716FF"/>
    <w:rsid w:val="00972275"/>
    <w:rsid w:val="00972314"/>
    <w:rsid w:val="00974530"/>
    <w:rsid w:val="009854AB"/>
    <w:rsid w:val="00985815"/>
    <w:rsid w:val="0099674A"/>
    <w:rsid w:val="009A39DA"/>
    <w:rsid w:val="009A6949"/>
    <w:rsid w:val="009B1753"/>
    <w:rsid w:val="009B18B2"/>
    <w:rsid w:val="009B5C65"/>
    <w:rsid w:val="009B68E1"/>
    <w:rsid w:val="009B7B51"/>
    <w:rsid w:val="009C0946"/>
    <w:rsid w:val="009C74CA"/>
    <w:rsid w:val="009D0AA8"/>
    <w:rsid w:val="009D0BE0"/>
    <w:rsid w:val="009D7B98"/>
    <w:rsid w:val="009F50C9"/>
    <w:rsid w:val="009F5763"/>
    <w:rsid w:val="00A021C9"/>
    <w:rsid w:val="00A022E6"/>
    <w:rsid w:val="00A02BC8"/>
    <w:rsid w:val="00A037D3"/>
    <w:rsid w:val="00A07815"/>
    <w:rsid w:val="00A11B38"/>
    <w:rsid w:val="00A11C6A"/>
    <w:rsid w:val="00A17FA3"/>
    <w:rsid w:val="00A22BE4"/>
    <w:rsid w:val="00A23A3B"/>
    <w:rsid w:val="00A241B2"/>
    <w:rsid w:val="00A24D81"/>
    <w:rsid w:val="00A31060"/>
    <w:rsid w:val="00A3124B"/>
    <w:rsid w:val="00A35F88"/>
    <w:rsid w:val="00A3621D"/>
    <w:rsid w:val="00A376A2"/>
    <w:rsid w:val="00A3774D"/>
    <w:rsid w:val="00A377B8"/>
    <w:rsid w:val="00A37B16"/>
    <w:rsid w:val="00A42176"/>
    <w:rsid w:val="00A42274"/>
    <w:rsid w:val="00A43BD9"/>
    <w:rsid w:val="00A449A1"/>
    <w:rsid w:val="00A4602E"/>
    <w:rsid w:val="00A47125"/>
    <w:rsid w:val="00A47575"/>
    <w:rsid w:val="00A51589"/>
    <w:rsid w:val="00A54D5B"/>
    <w:rsid w:val="00A603A1"/>
    <w:rsid w:val="00A6573F"/>
    <w:rsid w:val="00A71002"/>
    <w:rsid w:val="00A721AC"/>
    <w:rsid w:val="00A72503"/>
    <w:rsid w:val="00A739DB"/>
    <w:rsid w:val="00A7608A"/>
    <w:rsid w:val="00A767A7"/>
    <w:rsid w:val="00A77F99"/>
    <w:rsid w:val="00A83089"/>
    <w:rsid w:val="00A83EC6"/>
    <w:rsid w:val="00A853E7"/>
    <w:rsid w:val="00A87514"/>
    <w:rsid w:val="00A9150A"/>
    <w:rsid w:val="00A940A3"/>
    <w:rsid w:val="00A96F33"/>
    <w:rsid w:val="00A9702F"/>
    <w:rsid w:val="00AA1E36"/>
    <w:rsid w:val="00AA5548"/>
    <w:rsid w:val="00AB11F9"/>
    <w:rsid w:val="00AB28D8"/>
    <w:rsid w:val="00AB3782"/>
    <w:rsid w:val="00AB48AA"/>
    <w:rsid w:val="00AB6333"/>
    <w:rsid w:val="00AC1374"/>
    <w:rsid w:val="00AC4524"/>
    <w:rsid w:val="00AD5046"/>
    <w:rsid w:val="00AD52B4"/>
    <w:rsid w:val="00AD6030"/>
    <w:rsid w:val="00AD607D"/>
    <w:rsid w:val="00AD6B04"/>
    <w:rsid w:val="00AE7753"/>
    <w:rsid w:val="00AF08A4"/>
    <w:rsid w:val="00AF1961"/>
    <w:rsid w:val="00AF6D81"/>
    <w:rsid w:val="00B00116"/>
    <w:rsid w:val="00B01051"/>
    <w:rsid w:val="00B03CE9"/>
    <w:rsid w:val="00B06154"/>
    <w:rsid w:val="00B10FC1"/>
    <w:rsid w:val="00B118D8"/>
    <w:rsid w:val="00B119CC"/>
    <w:rsid w:val="00B14029"/>
    <w:rsid w:val="00B15AFA"/>
    <w:rsid w:val="00B220C8"/>
    <w:rsid w:val="00B22478"/>
    <w:rsid w:val="00B227B1"/>
    <w:rsid w:val="00B242D3"/>
    <w:rsid w:val="00B3094C"/>
    <w:rsid w:val="00B30EB4"/>
    <w:rsid w:val="00B330A8"/>
    <w:rsid w:val="00B3368F"/>
    <w:rsid w:val="00B35B1A"/>
    <w:rsid w:val="00B36918"/>
    <w:rsid w:val="00B37E48"/>
    <w:rsid w:val="00B40F34"/>
    <w:rsid w:val="00B44783"/>
    <w:rsid w:val="00B502FD"/>
    <w:rsid w:val="00B50FE6"/>
    <w:rsid w:val="00B527C9"/>
    <w:rsid w:val="00B52A35"/>
    <w:rsid w:val="00B53DC0"/>
    <w:rsid w:val="00B544FF"/>
    <w:rsid w:val="00B57716"/>
    <w:rsid w:val="00B57A76"/>
    <w:rsid w:val="00B61066"/>
    <w:rsid w:val="00B6303A"/>
    <w:rsid w:val="00B65001"/>
    <w:rsid w:val="00B67B7D"/>
    <w:rsid w:val="00B72CDB"/>
    <w:rsid w:val="00B7457E"/>
    <w:rsid w:val="00B80624"/>
    <w:rsid w:val="00B81353"/>
    <w:rsid w:val="00B84250"/>
    <w:rsid w:val="00B845F7"/>
    <w:rsid w:val="00B863BA"/>
    <w:rsid w:val="00B93F41"/>
    <w:rsid w:val="00B96326"/>
    <w:rsid w:val="00B96464"/>
    <w:rsid w:val="00B976F5"/>
    <w:rsid w:val="00B97C46"/>
    <w:rsid w:val="00B97CCC"/>
    <w:rsid w:val="00BA1D0C"/>
    <w:rsid w:val="00BB0F73"/>
    <w:rsid w:val="00BB38E9"/>
    <w:rsid w:val="00BB42A7"/>
    <w:rsid w:val="00BB62C2"/>
    <w:rsid w:val="00BB6378"/>
    <w:rsid w:val="00BC4C22"/>
    <w:rsid w:val="00BC4E79"/>
    <w:rsid w:val="00BC52F3"/>
    <w:rsid w:val="00BC5CCE"/>
    <w:rsid w:val="00BC796B"/>
    <w:rsid w:val="00BC7CB1"/>
    <w:rsid w:val="00BD1E96"/>
    <w:rsid w:val="00BD3C3B"/>
    <w:rsid w:val="00BD46E7"/>
    <w:rsid w:val="00BD6B5F"/>
    <w:rsid w:val="00BD72AF"/>
    <w:rsid w:val="00BE1359"/>
    <w:rsid w:val="00BF19CE"/>
    <w:rsid w:val="00BF4576"/>
    <w:rsid w:val="00BF5181"/>
    <w:rsid w:val="00BF555F"/>
    <w:rsid w:val="00BF6879"/>
    <w:rsid w:val="00C03FD6"/>
    <w:rsid w:val="00C065E0"/>
    <w:rsid w:val="00C06B8E"/>
    <w:rsid w:val="00C11469"/>
    <w:rsid w:val="00C12050"/>
    <w:rsid w:val="00C12773"/>
    <w:rsid w:val="00C138CC"/>
    <w:rsid w:val="00C15231"/>
    <w:rsid w:val="00C1685D"/>
    <w:rsid w:val="00C1786F"/>
    <w:rsid w:val="00C24938"/>
    <w:rsid w:val="00C25025"/>
    <w:rsid w:val="00C25951"/>
    <w:rsid w:val="00C31E81"/>
    <w:rsid w:val="00C35644"/>
    <w:rsid w:val="00C37A2C"/>
    <w:rsid w:val="00C42921"/>
    <w:rsid w:val="00C444B8"/>
    <w:rsid w:val="00C44DFA"/>
    <w:rsid w:val="00C46F38"/>
    <w:rsid w:val="00C50877"/>
    <w:rsid w:val="00C522BD"/>
    <w:rsid w:val="00C52616"/>
    <w:rsid w:val="00C54647"/>
    <w:rsid w:val="00C63BBD"/>
    <w:rsid w:val="00C654A4"/>
    <w:rsid w:val="00C71AD5"/>
    <w:rsid w:val="00C73AFF"/>
    <w:rsid w:val="00C75F94"/>
    <w:rsid w:val="00C825FD"/>
    <w:rsid w:val="00C84C3C"/>
    <w:rsid w:val="00C873F7"/>
    <w:rsid w:val="00C87EA4"/>
    <w:rsid w:val="00C95566"/>
    <w:rsid w:val="00CA1838"/>
    <w:rsid w:val="00CA1FA3"/>
    <w:rsid w:val="00CA6552"/>
    <w:rsid w:val="00CB3AC1"/>
    <w:rsid w:val="00CC7C08"/>
    <w:rsid w:val="00CD18A3"/>
    <w:rsid w:val="00CD18A4"/>
    <w:rsid w:val="00CD1FC4"/>
    <w:rsid w:val="00CD49E6"/>
    <w:rsid w:val="00CD799B"/>
    <w:rsid w:val="00CE1DA5"/>
    <w:rsid w:val="00CE4ED4"/>
    <w:rsid w:val="00CE52E7"/>
    <w:rsid w:val="00CE7144"/>
    <w:rsid w:val="00CF182C"/>
    <w:rsid w:val="00CF5BBB"/>
    <w:rsid w:val="00D04CF6"/>
    <w:rsid w:val="00D131ED"/>
    <w:rsid w:val="00D13CCC"/>
    <w:rsid w:val="00D15509"/>
    <w:rsid w:val="00D179AE"/>
    <w:rsid w:val="00D179EA"/>
    <w:rsid w:val="00D23B88"/>
    <w:rsid w:val="00D26426"/>
    <w:rsid w:val="00D317B9"/>
    <w:rsid w:val="00D31DDB"/>
    <w:rsid w:val="00D37E85"/>
    <w:rsid w:val="00D41A61"/>
    <w:rsid w:val="00D42C97"/>
    <w:rsid w:val="00D47ADB"/>
    <w:rsid w:val="00D50E3B"/>
    <w:rsid w:val="00D51630"/>
    <w:rsid w:val="00D557E6"/>
    <w:rsid w:val="00D61B1F"/>
    <w:rsid w:val="00D6313B"/>
    <w:rsid w:val="00D6547B"/>
    <w:rsid w:val="00D65E07"/>
    <w:rsid w:val="00D7044A"/>
    <w:rsid w:val="00D71995"/>
    <w:rsid w:val="00D7471C"/>
    <w:rsid w:val="00D7501A"/>
    <w:rsid w:val="00D75913"/>
    <w:rsid w:val="00D8105D"/>
    <w:rsid w:val="00D83E82"/>
    <w:rsid w:val="00D86C94"/>
    <w:rsid w:val="00D86DA1"/>
    <w:rsid w:val="00D92DC8"/>
    <w:rsid w:val="00D93244"/>
    <w:rsid w:val="00D9437D"/>
    <w:rsid w:val="00D9528F"/>
    <w:rsid w:val="00D96882"/>
    <w:rsid w:val="00D96984"/>
    <w:rsid w:val="00DA4630"/>
    <w:rsid w:val="00DB0B64"/>
    <w:rsid w:val="00DB4954"/>
    <w:rsid w:val="00DB50F6"/>
    <w:rsid w:val="00DC42C2"/>
    <w:rsid w:val="00DC5347"/>
    <w:rsid w:val="00DC5DF8"/>
    <w:rsid w:val="00DC6677"/>
    <w:rsid w:val="00DD27E6"/>
    <w:rsid w:val="00DD2D31"/>
    <w:rsid w:val="00DD598C"/>
    <w:rsid w:val="00DD6F32"/>
    <w:rsid w:val="00DD6F9B"/>
    <w:rsid w:val="00DE1E1B"/>
    <w:rsid w:val="00DE2E4E"/>
    <w:rsid w:val="00DE6C10"/>
    <w:rsid w:val="00DF14A4"/>
    <w:rsid w:val="00DF7A50"/>
    <w:rsid w:val="00E00872"/>
    <w:rsid w:val="00E03A95"/>
    <w:rsid w:val="00E04DFC"/>
    <w:rsid w:val="00E05CC4"/>
    <w:rsid w:val="00E078EB"/>
    <w:rsid w:val="00E12DFC"/>
    <w:rsid w:val="00E162DA"/>
    <w:rsid w:val="00E228CD"/>
    <w:rsid w:val="00E24825"/>
    <w:rsid w:val="00E33548"/>
    <w:rsid w:val="00E371E1"/>
    <w:rsid w:val="00E41028"/>
    <w:rsid w:val="00E42081"/>
    <w:rsid w:val="00E435F3"/>
    <w:rsid w:val="00E437FE"/>
    <w:rsid w:val="00E47938"/>
    <w:rsid w:val="00E54953"/>
    <w:rsid w:val="00E61B2C"/>
    <w:rsid w:val="00E65944"/>
    <w:rsid w:val="00E65A6B"/>
    <w:rsid w:val="00E65C20"/>
    <w:rsid w:val="00E668F2"/>
    <w:rsid w:val="00E66C08"/>
    <w:rsid w:val="00E67271"/>
    <w:rsid w:val="00E67AAA"/>
    <w:rsid w:val="00E70513"/>
    <w:rsid w:val="00E70558"/>
    <w:rsid w:val="00E722E2"/>
    <w:rsid w:val="00E75436"/>
    <w:rsid w:val="00E8164E"/>
    <w:rsid w:val="00E82D4C"/>
    <w:rsid w:val="00E83413"/>
    <w:rsid w:val="00E8799A"/>
    <w:rsid w:val="00E92CA9"/>
    <w:rsid w:val="00EA4950"/>
    <w:rsid w:val="00EA5873"/>
    <w:rsid w:val="00EB0EE3"/>
    <w:rsid w:val="00EB32B0"/>
    <w:rsid w:val="00EB4BCA"/>
    <w:rsid w:val="00EB53C5"/>
    <w:rsid w:val="00EB5B8B"/>
    <w:rsid w:val="00EC5494"/>
    <w:rsid w:val="00EC58D7"/>
    <w:rsid w:val="00ED6C6F"/>
    <w:rsid w:val="00EE2708"/>
    <w:rsid w:val="00EE407A"/>
    <w:rsid w:val="00EF171F"/>
    <w:rsid w:val="00EF38DA"/>
    <w:rsid w:val="00EF449D"/>
    <w:rsid w:val="00EF4AC0"/>
    <w:rsid w:val="00EF5D69"/>
    <w:rsid w:val="00EF5F46"/>
    <w:rsid w:val="00EF717D"/>
    <w:rsid w:val="00F0567A"/>
    <w:rsid w:val="00F05E75"/>
    <w:rsid w:val="00F10F33"/>
    <w:rsid w:val="00F170F8"/>
    <w:rsid w:val="00F17F68"/>
    <w:rsid w:val="00F20CF5"/>
    <w:rsid w:val="00F2100D"/>
    <w:rsid w:val="00F229FC"/>
    <w:rsid w:val="00F23BB1"/>
    <w:rsid w:val="00F30C0E"/>
    <w:rsid w:val="00F34FEB"/>
    <w:rsid w:val="00F450FD"/>
    <w:rsid w:val="00F4657D"/>
    <w:rsid w:val="00F50493"/>
    <w:rsid w:val="00F533D6"/>
    <w:rsid w:val="00F56B31"/>
    <w:rsid w:val="00F60A88"/>
    <w:rsid w:val="00F634A8"/>
    <w:rsid w:val="00F70CC0"/>
    <w:rsid w:val="00F71886"/>
    <w:rsid w:val="00F73E90"/>
    <w:rsid w:val="00F74620"/>
    <w:rsid w:val="00F80FB9"/>
    <w:rsid w:val="00F870A6"/>
    <w:rsid w:val="00F87338"/>
    <w:rsid w:val="00F87D55"/>
    <w:rsid w:val="00F926E6"/>
    <w:rsid w:val="00F92F33"/>
    <w:rsid w:val="00F95FEC"/>
    <w:rsid w:val="00F96765"/>
    <w:rsid w:val="00FA0DB2"/>
    <w:rsid w:val="00FA3AC4"/>
    <w:rsid w:val="00FA3CAC"/>
    <w:rsid w:val="00FA79F0"/>
    <w:rsid w:val="00FB0F3C"/>
    <w:rsid w:val="00FB17F0"/>
    <w:rsid w:val="00FB1D5B"/>
    <w:rsid w:val="00FB2C8C"/>
    <w:rsid w:val="00FB4561"/>
    <w:rsid w:val="00FC034E"/>
    <w:rsid w:val="00FC10C9"/>
    <w:rsid w:val="00FD16E3"/>
    <w:rsid w:val="00FD29A7"/>
    <w:rsid w:val="00FD2FCF"/>
    <w:rsid w:val="00FD37BA"/>
    <w:rsid w:val="00FD4918"/>
    <w:rsid w:val="00FD4A39"/>
    <w:rsid w:val="00FE0F22"/>
    <w:rsid w:val="00FE207E"/>
    <w:rsid w:val="00FE3607"/>
    <w:rsid w:val="00FE5202"/>
    <w:rsid w:val="00FE5A71"/>
    <w:rsid w:val="00FE71EB"/>
    <w:rsid w:val="00FE7CA8"/>
    <w:rsid w:val="00FF046C"/>
    <w:rsid w:val="00FF0C13"/>
    <w:rsid w:val="00FF1042"/>
    <w:rsid w:val="00FF284E"/>
    <w:rsid w:val="00FF5955"/>
    <w:rsid w:val="00FF5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3124ACB-5D40-47CE-B62A-19DDCF7C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2"/>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FEB"/>
    <w:rPr>
      <w:rFonts w:eastAsia="Times New Roman"/>
      <w:sz w:val="24"/>
    </w:rPr>
  </w:style>
  <w:style w:type="paragraph" w:styleId="1">
    <w:name w:val="heading 1"/>
    <w:aliases w:val="Heading 1"/>
    <w:basedOn w:val="Base"/>
    <w:next w:val="Para2"/>
    <w:link w:val="10"/>
    <w:qFormat/>
    <w:rsid w:val="00F34FEB"/>
    <w:pPr>
      <w:spacing w:before="240" w:line="320" w:lineRule="exact"/>
      <w:ind w:left="720" w:hanging="720"/>
      <w:outlineLvl w:val="0"/>
    </w:pPr>
    <w:rPr>
      <w:b/>
      <w:bCs/>
      <w:smallCaps/>
      <w:noProof/>
      <w:sz w:val="32"/>
      <w:szCs w:val="36"/>
    </w:rPr>
  </w:style>
  <w:style w:type="paragraph" w:styleId="2">
    <w:name w:val="heading 2"/>
    <w:aliases w:val="Heading 2"/>
    <w:basedOn w:val="Base"/>
    <w:next w:val="Para2"/>
    <w:link w:val="20"/>
    <w:qFormat/>
    <w:rsid w:val="00F34FEB"/>
    <w:pPr>
      <w:spacing w:before="240" w:line="320" w:lineRule="exact"/>
      <w:ind w:left="720" w:hanging="720"/>
      <w:jc w:val="left"/>
      <w:outlineLvl w:val="1"/>
    </w:pPr>
    <w:rPr>
      <w:b/>
      <w:bCs/>
      <w:sz w:val="28"/>
      <w:szCs w:val="32"/>
    </w:rPr>
  </w:style>
  <w:style w:type="paragraph" w:styleId="3">
    <w:name w:val="heading 3"/>
    <w:aliases w:val="Heading 3"/>
    <w:basedOn w:val="Base"/>
    <w:next w:val="Para2"/>
    <w:link w:val="30"/>
    <w:qFormat/>
    <w:rsid w:val="00F34FEB"/>
    <w:pPr>
      <w:spacing w:before="240" w:line="320" w:lineRule="exact"/>
      <w:jc w:val="left"/>
      <w:outlineLvl w:val="2"/>
    </w:pPr>
    <w:rPr>
      <w:b/>
      <w:bCs/>
      <w:szCs w:val="28"/>
    </w:rPr>
  </w:style>
  <w:style w:type="paragraph" w:styleId="4">
    <w:name w:val="heading 4"/>
    <w:basedOn w:val="Base"/>
    <w:next w:val="Para2"/>
    <w:link w:val="40"/>
    <w:qFormat/>
    <w:rsid w:val="00F34FEB"/>
    <w:pPr>
      <w:tabs>
        <w:tab w:val="left" w:pos="720"/>
      </w:tabs>
      <w:spacing w:before="240" w:line="320" w:lineRule="exact"/>
      <w:ind w:left="720" w:hanging="720"/>
      <w:jc w:val="left"/>
      <w:outlineLvl w:val="3"/>
    </w:pPr>
    <w:rPr>
      <w:b/>
      <w:bCs/>
      <w:sz w:val="22"/>
    </w:rPr>
  </w:style>
  <w:style w:type="paragraph" w:styleId="5">
    <w:name w:val="heading 5"/>
    <w:basedOn w:val="Base"/>
    <w:next w:val="Para2"/>
    <w:link w:val="50"/>
    <w:qFormat/>
    <w:rsid w:val="00F34FEB"/>
    <w:pPr>
      <w:spacing w:before="240" w:line="320" w:lineRule="exact"/>
      <w:ind w:left="720" w:hanging="720"/>
      <w:jc w:val="left"/>
      <w:outlineLvl w:val="4"/>
    </w:pPr>
    <w:rPr>
      <w:b/>
      <w:bCs/>
      <w:sz w:val="22"/>
    </w:rPr>
  </w:style>
  <w:style w:type="paragraph" w:styleId="6">
    <w:name w:val="heading 6"/>
    <w:basedOn w:val="Base"/>
    <w:next w:val="Para2"/>
    <w:link w:val="60"/>
    <w:unhideWhenUsed/>
    <w:qFormat/>
    <w:rsid w:val="00F34FEB"/>
    <w:pPr>
      <w:bidi/>
      <w:spacing w:before="240" w:line="320" w:lineRule="exact"/>
      <w:ind w:left="720" w:hanging="720"/>
      <w:jc w:val="right"/>
      <w:outlineLvl w:val="5"/>
    </w:pPr>
    <w:rPr>
      <w:b/>
      <w:bCs/>
      <w:sz w:val="22"/>
    </w:rPr>
  </w:style>
  <w:style w:type="paragraph" w:styleId="7">
    <w:name w:val="heading 7"/>
    <w:basedOn w:val="a"/>
    <w:next w:val="a"/>
    <w:link w:val="70"/>
    <w:unhideWhenUsed/>
    <w:qFormat/>
    <w:rsid w:val="00F34FEB"/>
    <w:pPr>
      <w:keepNext/>
      <w:keepLines/>
      <w:bidi/>
      <w:spacing w:before="200"/>
      <w:outlineLvl w:val="6"/>
    </w:pPr>
    <w:rPr>
      <w:rFonts w:ascii="Cambria" w:hAnsi="Cambria" w:cs="Times New Roman"/>
      <w:i/>
      <w:iCs/>
      <w:color w:val="404040"/>
    </w:rPr>
  </w:style>
  <w:style w:type="paragraph" w:styleId="8">
    <w:name w:val="heading 8"/>
    <w:basedOn w:val="a"/>
    <w:next w:val="a"/>
    <w:link w:val="80"/>
    <w:unhideWhenUsed/>
    <w:qFormat/>
    <w:rsid w:val="00F34FEB"/>
    <w:pPr>
      <w:keepNext/>
      <w:keepLines/>
      <w:bidi/>
      <w:spacing w:before="200"/>
      <w:outlineLvl w:val="7"/>
    </w:pPr>
    <w:rPr>
      <w:rFonts w:ascii="Cambria" w:hAnsi="Cambria" w:cs="Times New Roman"/>
      <w:color w:val="404040"/>
      <w:sz w:val="20"/>
      <w:szCs w:val="20"/>
    </w:rPr>
  </w:style>
  <w:style w:type="paragraph" w:styleId="9">
    <w:name w:val="heading 9"/>
    <w:basedOn w:val="a"/>
    <w:next w:val="a"/>
    <w:link w:val="90"/>
    <w:unhideWhenUsed/>
    <w:qFormat/>
    <w:rsid w:val="00F34FEB"/>
    <w:pPr>
      <w:keepNext/>
      <w:keepLines/>
      <w:bidi/>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rsid w:val="00F34FE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34FEB"/>
  </w:style>
  <w:style w:type="character" w:customStyle="1" w:styleId="10">
    <w:name w:val="כותרת 1 תו"/>
    <w:aliases w:val="Heading 1 תו"/>
    <w:basedOn w:val="a0"/>
    <w:link w:val="1"/>
    <w:rsid w:val="00F34FEB"/>
    <w:rPr>
      <w:rFonts w:eastAsia="Times New Roman"/>
      <w:b/>
      <w:bCs/>
      <w:smallCaps/>
      <w:noProof/>
      <w:sz w:val="32"/>
      <w:szCs w:val="36"/>
      <w:lang w:eastAsia="he-IL"/>
    </w:rPr>
  </w:style>
  <w:style w:type="character" w:customStyle="1" w:styleId="20">
    <w:name w:val="כותרת 2 תו"/>
    <w:aliases w:val="Heading 2 תו"/>
    <w:basedOn w:val="a0"/>
    <w:link w:val="2"/>
    <w:rsid w:val="00F34FEB"/>
    <w:rPr>
      <w:rFonts w:eastAsia="Times New Roman"/>
      <w:b/>
      <w:bCs/>
      <w:sz w:val="28"/>
      <w:szCs w:val="32"/>
      <w:lang w:eastAsia="he-IL"/>
    </w:rPr>
  </w:style>
  <w:style w:type="character" w:customStyle="1" w:styleId="30">
    <w:name w:val="כותרת 3 תו"/>
    <w:aliases w:val="Heading 3 תו"/>
    <w:basedOn w:val="a0"/>
    <w:link w:val="3"/>
    <w:rsid w:val="00F34FEB"/>
    <w:rPr>
      <w:rFonts w:eastAsia="Times New Roman"/>
      <w:b/>
      <w:bCs/>
      <w:sz w:val="24"/>
      <w:szCs w:val="28"/>
      <w:lang w:eastAsia="he-IL"/>
    </w:rPr>
  </w:style>
  <w:style w:type="character" w:customStyle="1" w:styleId="40">
    <w:name w:val="כותרת 4 תו"/>
    <w:basedOn w:val="a0"/>
    <w:link w:val="4"/>
    <w:rsid w:val="00F34FEB"/>
    <w:rPr>
      <w:rFonts w:eastAsia="Times New Roman"/>
      <w:b/>
      <w:bCs/>
      <w:lang w:eastAsia="he-IL"/>
    </w:rPr>
  </w:style>
  <w:style w:type="character" w:customStyle="1" w:styleId="50">
    <w:name w:val="כותרת 5 תו"/>
    <w:basedOn w:val="a0"/>
    <w:link w:val="5"/>
    <w:rsid w:val="00F34FEB"/>
    <w:rPr>
      <w:rFonts w:eastAsia="Times New Roman"/>
      <w:b/>
      <w:bCs/>
      <w:lang w:eastAsia="he-IL"/>
    </w:rPr>
  </w:style>
  <w:style w:type="character" w:customStyle="1" w:styleId="60">
    <w:name w:val="כותרת 6 תו"/>
    <w:basedOn w:val="a0"/>
    <w:link w:val="6"/>
    <w:rsid w:val="00F34FEB"/>
    <w:rPr>
      <w:rFonts w:eastAsia="Times New Roman"/>
      <w:b/>
      <w:bCs/>
      <w:lang w:eastAsia="he-IL"/>
    </w:rPr>
  </w:style>
  <w:style w:type="character" w:customStyle="1" w:styleId="70">
    <w:name w:val="כותרת 7 תו"/>
    <w:basedOn w:val="a0"/>
    <w:link w:val="7"/>
    <w:rsid w:val="00F34FEB"/>
    <w:rPr>
      <w:rFonts w:ascii="Cambria" w:eastAsia="Times New Roman" w:hAnsi="Cambria" w:cs="Times New Roman"/>
      <w:i/>
      <w:iCs/>
      <w:color w:val="404040"/>
      <w:sz w:val="24"/>
    </w:rPr>
  </w:style>
  <w:style w:type="character" w:customStyle="1" w:styleId="80">
    <w:name w:val="כותרת 8 תו"/>
    <w:basedOn w:val="a0"/>
    <w:link w:val="8"/>
    <w:rsid w:val="00F34FEB"/>
    <w:rPr>
      <w:rFonts w:ascii="Cambria" w:eastAsia="Times New Roman" w:hAnsi="Cambria" w:cs="Times New Roman"/>
      <w:color w:val="404040"/>
      <w:sz w:val="20"/>
      <w:szCs w:val="20"/>
    </w:rPr>
  </w:style>
  <w:style w:type="character" w:customStyle="1" w:styleId="90">
    <w:name w:val="כותרת 9 תו"/>
    <w:basedOn w:val="a0"/>
    <w:link w:val="9"/>
    <w:rsid w:val="00F34FEB"/>
    <w:rPr>
      <w:rFonts w:ascii="Cambria" w:eastAsia="Times New Roman" w:hAnsi="Cambria" w:cs="Times New Roman"/>
      <w:i/>
      <w:iCs/>
      <w:color w:val="404040"/>
      <w:sz w:val="20"/>
      <w:szCs w:val="20"/>
    </w:rPr>
  </w:style>
  <w:style w:type="paragraph" w:customStyle="1" w:styleId="Base">
    <w:name w:val="Base"/>
    <w:link w:val="BaseChar"/>
    <w:rsid w:val="00F34FEB"/>
    <w:pPr>
      <w:spacing w:before="120" w:line="240" w:lineRule="atLeast"/>
      <w:jc w:val="both"/>
    </w:pPr>
    <w:rPr>
      <w:rFonts w:eastAsia="Times New Roman"/>
      <w:sz w:val="24"/>
      <w:lang w:eastAsia="he-IL"/>
    </w:rPr>
  </w:style>
  <w:style w:type="paragraph" w:customStyle="1" w:styleId="AlphaList0">
    <w:name w:val="Alpha List 0"/>
    <w:basedOn w:val="Base"/>
    <w:rsid w:val="00F34FEB"/>
    <w:pPr>
      <w:numPr>
        <w:numId w:val="1"/>
      </w:numPr>
    </w:pPr>
  </w:style>
  <w:style w:type="paragraph" w:customStyle="1" w:styleId="AlphaList1">
    <w:name w:val="Alpha List 1"/>
    <w:basedOn w:val="Base"/>
    <w:rsid w:val="00F34FEB"/>
    <w:pPr>
      <w:numPr>
        <w:numId w:val="2"/>
      </w:numPr>
    </w:pPr>
  </w:style>
  <w:style w:type="paragraph" w:customStyle="1" w:styleId="AlphaList2">
    <w:name w:val="Alpha List 2"/>
    <w:basedOn w:val="Base"/>
    <w:rsid w:val="00F34FEB"/>
    <w:pPr>
      <w:numPr>
        <w:numId w:val="3"/>
      </w:numPr>
    </w:pPr>
  </w:style>
  <w:style w:type="paragraph" w:customStyle="1" w:styleId="AlphaList3">
    <w:name w:val="Alpha List 3"/>
    <w:basedOn w:val="Base"/>
    <w:rsid w:val="00F34FEB"/>
    <w:pPr>
      <w:numPr>
        <w:numId w:val="4"/>
      </w:numPr>
    </w:pPr>
  </w:style>
  <w:style w:type="paragraph" w:customStyle="1" w:styleId="AlphaList4">
    <w:name w:val="Alpha List 4"/>
    <w:basedOn w:val="Base"/>
    <w:rsid w:val="00F34FEB"/>
    <w:pPr>
      <w:numPr>
        <w:numId w:val="5"/>
      </w:numPr>
    </w:pPr>
  </w:style>
  <w:style w:type="paragraph" w:customStyle="1" w:styleId="AlphaList5">
    <w:name w:val="Alpha List 5"/>
    <w:basedOn w:val="Base"/>
    <w:rsid w:val="00F34FEB"/>
    <w:pPr>
      <w:numPr>
        <w:numId w:val="6"/>
      </w:numPr>
      <w:tabs>
        <w:tab w:val="left" w:pos="2211"/>
      </w:tabs>
    </w:pPr>
  </w:style>
  <w:style w:type="paragraph" w:customStyle="1" w:styleId="BulletList0">
    <w:name w:val="Bullet List 0"/>
    <w:basedOn w:val="Base"/>
    <w:rsid w:val="00F34FEB"/>
    <w:pPr>
      <w:numPr>
        <w:numId w:val="7"/>
      </w:numPr>
    </w:pPr>
  </w:style>
  <w:style w:type="paragraph" w:customStyle="1" w:styleId="BulletList1">
    <w:name w:val="Bullet List 1"/>
    <w:basedOn w:val="Base"/>
    <w:rsid w:val="00F34FEB"/>
    <w:pPr>
      <w:numPr>
        <w:numId w:val="8"/>
      </w:numPr>
    </w:pPr>
  </w:style>
  <w:style w:type="paragraph" w:customStyle="1" w:styleId="BulletList2">
    <w:name w:val="Bullet List 2"/>
    <w:basedOn w:val="Base"/>
    <w:rsid w:val="00F34FEB"/>
    <w:pPr>
      <w:numPr>
        <w:numId w:val="9"/>
      </w:numPr>
    </w:pPr>
  </w:style>
  <w:style w:type="paragraph" w:customStyle="1" w:styleId="BulletList3">
    <w:name w:val="Bullet List 3"/>
    <w:basedOn w:val="Base"/>
    <w:rsid w:val="00F34FEB"/>
    <w:pPr>
      <w:numPr>
        <w:numId w:val="10"/>
      </w:numPr>
    </w:pPr>
  </w:style>
  <w:style w:type="paragraph" w:customStyle="1" w:styleId="BulletList4">
    <w:name w:val="Bullet List 4"/>
    <w:basedOn w:val="Base"/>
    <w:rsid w:val="00F34FEB"/>
    <w:pPr>
      <w:numPr>
        <w:numId w:val="11"/>
      </w:numPr>
    </w:pPr>
  </w:style>
  <w:style w:type="paragraph" w:customStyle="1" w:styleId="BulletList5">
    <w:name w:val="Bullet List 5"/>
    <w:basedOn w:val="Base"/>
    <w:rsid w:val="00F34FEB"/>
    <w:pPr>
      <w:numPr>
        <w:numId w:val="12"/>
      </w:numPr>
    </w:pPr>
  </w:style>
  <w:style w:type="paragraph" w:customStyle="1" w:styleId="DocTitle">
    <w:name w:val="Doc Title"/>
    <w:basedOn w:val="Base"/>
    <w:next w:val="a"/>
    <w:rsid w:val="00F34FEB"/>
    <w:pPr>
      <w:spacing w:before="360" w:after="480" w:line="480" w:lineRule="exact"/>
      <w:jc w:val="center"/>
    </w:pPr>
    <w:rPr>
      <w:b/>
      <w:bCs/>
      <w:caps/>
      <w:spacing w:val="40"/>
      <w:kern w:val="48"/>
      <w:sz w:val="48"/>
      <w:szCs w:val="52"/>
    </w:rPr>
  </w:style>
  <w:style w:type="paragraph" w:customStyle="1" w:styleId="Draft">
    <w:name w:val="Draft"/>
    <w:basedOn w:val="Base"/>
    <w:rsid w:val="00F34FEB"/>
    <w:rPr>
      <w:rFonts w:cs="Guttman Yad"/>
      <w:i/>
    </w:rPr>
  </w:style>
  <w:style w:type="paragraph" w:customStyle="1" w:styleId="Draft1">
    <w:name w:val="Draft1"/>
    <w:basedOn w:val="Base"/>
    <w:rsid w:val="00F34FEB"/>
    <w:pPr>
      <w:ind w:left="357"/>
    </w:pPr>
    <w:rPr>
      <w:rFonts w:cs="Guttman Yad"/>
      <w:i/>
    </w:rPr>
  </w:style>
  <w:style w:type="paragraph" w:customStyle="1" w:styleId="FooterTitle">
    <w:name w:val="Footer Title"/>
    <w:basedOn w:val="Base"/>
    <w:rsid w:val="00F34FEB"/>
    <w:pPr>
      <w:tabs>
        <w:tab w:val="center" w:pos="4536"/>
        <w:tab w:val="right" w:pos="9072"/>
      </w:tabs>
      <w:spacing w:before="0" w:line="240" w:lineRule="auto"/>
    </w:pPr>
    <w:rPr>
      <w:sz w:val="18"/>
      <w:szCs w:val="20"/>
    </w:rPr>
  </w:style>
  <w:style w:type="paragraph" w:customStyle="1" w:styleId="Frame1">
    <w:name w:val="Frame 1"/>
    <w:basedOn w:val="Base"/>
    <w:rsid w:val="00F34FEB"/>
    <w:pPr>
      <w:pBdr>
        <w:top w:val="single" w:sz="6" w:space="8" w:color="auto"/>
        <w:left w:val="single" w:sz="6" w:space="8" w:color="auto"/>
        <w:bottom w:val="single" w:sz="6" w:space="8" w:color="auto"/>
        <w:right w:val="single" w:sz="6" w:space="8" w:color="auto"/>
      </w:pBdr>
      <w:spacing w:before="0"/>
      <w:ind w:left="794" w:right="794"/>
    </w:pPr>
  </w:style>
  <w:style w:type="paragraph" w:customStyle="1" w:styleId="Frame2">
    <w:name w:val="Frame 2"/>
    <w:basedOn w:val="Base"/>
    <w:rsid w:val="00F34FEB"/>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F34FEB"/>
    <w:pPr>
      <w:pBdr>
        <w:top w:val="single" w:sz="18" w:space="6" w:color="auto" w:shadow="1"/>
        <w:left w:val="single" w:sz="18" w:space="6" w:color="auto" w:shadow="1"/>
        <w:bottom w:val="single" w:sz="18" w:space="6" w:color="auto" w:shadow="1"/>
        <w:right w:val="single" w:sz="18" w:space="6" w:color="auto" w:shadow="1"/>
      </w:pBdr>
      <w:shd w:val="pct20" w:color="auto" w:fill="auto"/>
      <w:spacing w:after="120"/>
      <w:ind w:left="795" w:right="795"/>
    </w:pPr>
    <w:rPr>
      <w:b/>
      <w:bCs/>
    </w:rPr>
  </w:style>
  <w:style w:type="paragraph" w:customStyle="1" w:styleId="Graphic">
    <w:name w:val="Graphic"/>
    <w:basedOn w:val="Base"/>
    <w:rsid w:val="00F34FEB"/>
    <w:pPr>
      <w:jc w:val="center"/>
    </w:pPr>
  </w:style>
  <w:style w:type="paragraph" w:customStyle="1" w:styleId="GraphicCaption">
    <w:name w:val="Graphic Caption"/>
    <w:basedOn w:val="Base"/>
    <w:rsid w:val="00F34FEB"/>
    <w:pPr>
      <w:jc w:val="center"/>
    </w:pPr>
    <w:rPr>
      <w:bCs/>
    </w:rPr>
  </w:style>
  <w:style w:type="paragraph" w:customStyle="1" w:styleId="HeaderTitle">
    <w:name w:val="Header Title"/>
    <w:basedOn w:val="Base"/>
    <w:rsid w:val="00F34FEB"/>
    <w:pPr>
      <w:tabs>
        <w:tab w:val="center" w:pos="4536"/>
        <w:tab w:val="right" w:pos="9072"/>
      </w:tabs>
      <w:spacing w:before="0" w:line="240" w:lineRule="auto"/>
    </w:pPr>
    <w:rPr>
      <w:sz w:val="18"/>
      <w:szCs w:val="20"/>
    </w:rPr>
  </w:style>
  <w:style w:type="paragraph" w:customStyle="1" w:styleId="ListContinue0">
    <w:name w:val="List Continue0"/>
    <w:basedOn w:val="Base"/>
    <w:rsid w:val="00F34FEB"/>
    <w:pPr>
      <w:spacing w:before="0"/>
      <w:ind w:left="357"/>
      <w:contextualSpacing/>
    </w:pPr>
  </w:style>
  <w:style w:type="paragraph" w:customStyle="1" w:styleId="ListContinue1">
    <w:name w:val="List Continue1"/>
    <w:basedOn w:val="Base"/>
    <w:rsid w:val="00F34FEB"/>
    <w:pPr>
      <w:spacing w:before="0"/>
      <w:ind w:left="720"/>
    </w:pPr>
  </w:style>
  <w:style w:type="paragraph" w:customStyle="1" w:styleId="ListContinue2">
    <w:name w:val="List Continue2"/>
    <w:basedOn w:val="Base"/>
    <w:rsid w:val="00F34FEB"/>
    <w:pPr>
      <w:ind w:left="1083"/>
    </w:pPr>
  </w:style>
  <w:style w:type="paragraph" w:customStyle="1" w:styleId="ListContinue3">
    <w:name w:val="List Continue3"/>
    <w:basedOn w:val="Base"/>
    <w:rsid w:val="00F34FEB"/>
    <w:pPr>
      <w:spacing w:before="0"/>
      <w:ind w:left="1440"/>
    </w:pPr>
  </w:style>
  <w:style w:type="paragraph" w:customStyle="1" w:styleId="ListContinue4">
    <w:name w:val="List Continue4"/>
    <w:basedOn w:val="Base"/>
    <w:rsid w:val="00F34FEB"/>
    <w:pPr>
      <w:spacing w:before="0"/>
      <w:ind w:left="1854"/>
    </w:pPr>
  </w:style>
  <w:style w:type="paragraph" w:customStyle="1" w:styleId="ListContinue5">
    <w:name w:val="List Continue5"/>
    <w:basedOn w:val="Base"/>
    <w:rsid w:val="00F34FEB"/>
    <w:pPr>
      <w:spacing w:before="0"/>
      <w:ind w:left="2211"/>
    </w:pPr>
  </w:style>
  <w:style w:type="paragraph" w:customStyle="1" w:styleId="NumberList0">
    <w:name w:val="Number List 0"/>
    <w:basedOn w:val="Base"/>
    <w:rsid w:val="00F34FEB"/>
    <w:pPr>
      <w:numPr>
        <w:numId w:val="13"/>
      </w:numPr>
    </w:pPr>
  </w:style>
  <w:style w:type="paragraph" w:customStyle="1" w:styleId="NumberList1">
    <w:name w:val="Number List 1"/>
    <w:basedOn w:val="Base"/>
    <w:rsid w:val="00F34FEB"/>
    <w:pPr>
      <w:numPr>
        <w:numId w:val="14"/>
      </w:numPr>
    </w:pPr>
  </w:style>
  <w:style w:type="paragraph" w:customStyle="1" w:styleId="NumberList2">
    <w:name w:val="Number List 2"/>
    <w:basedOn w:val="Base"/>
    <w:rsid w:val="00F34FEB"/>
    <w:pPr>
      <w:numPr>
        <w:numId w:val="15"/>
      </w:numPr>
    </w:pPr>
  </w:style>
  <w:style w:type="paragraph" w:customStyle="1" w:styleId="NumberList3">
    <w:name w:val="Number List 3"/>
    <w:basedOn w:val="Base"/>
    <w:rsid w:val="00F34FEB"/>
    <w:pPr>
      <w:numPr>
        <w:numId w:val="16"/>
      </w:numPr>
    </w:pPr>
  </w:style>
  <w:style w:type="paragraph" w:customStyle="1" w:styleId="NumberList4">
    <w:name w:val="Number List 4"/>
    <w:basedOn w:val="Base"/>
    <w:rsid w:val="00F34FEB"/>
    <w:pPr>
      <w:numPr>
        <w:numId w:val="17"/>
      </w:numPr>
    </w:pPr>
  </w:style>
  <w:style w:type="paragraph" w:customStyle="1" w:styleId="NumberList5">
    <w:name w:val="Number List 5"/>
    <w:basedOn w:val="Base"/>
    <w:rsid w:val="00F34FEB"/>
    <w:pPr>
      <w:numPr>
        <w:numId w:val="18"/>
      </w:numPr>
      <w:tabs>
        <w:tab w:val="left" w:pos="2211"/>
      </w:tabs>
    </w:pPr>
  </w:style>
  <w:style w:type="paragraph" w:customStyle="1" w:styleId="OutlineList0">
    <w:name w:val="Outline List0"/>
    <w:basedOn w:val="Base"/>
    <w:qFormat/>
    <w:rsid w:val="00F34FEB"/>
    <w:pPr>
      <w:numPr>
        <w:numId w:val="19"/>
      </w:numPr>
    </w:pPr>
  </w:style>
  <w:style w:type="paragraph" w:customStyle="1" w:styleId="OutlineList1">
    <w:name w:val="Outline List1"/>
    <w:basedOn w:val="Base"/>
    <w:qFormat/>
    <w:rsid w:val="00F34FEB"/>
    <w:pPr>
      <w:numPr>
        <w:numId w:val="20"/>
      </w:numPr>
    </w:pPr>
  </w:style>
  <w:style w:type="paragraph" w:customStyle="1" w:styleId="OutlineList2">
    <w:name w:val="Outline List2"/>
    <w:basedOn w:val="Base"/>
    <w:qFormat/>
    <w:rsid w:val="00F34FEB"/>
    <w:pPr>
      <w:numPr>
        <w:numId w:val="21"/>
      </w:numPr>
    </w:pPr>
  </w:style>
  <w:style w:type="paragraph" w:customStyle="1" w:styleId="OutlineList3">
    <w:name w:val="Outline List3"/>
    <w:basedOn w:val="Base"/>
    <w:qFormat/>
    <w:rsid w:val="00F34FEB"/>
    <w:pPr>
      <w:numPr>
        <w:numId w:val="22"/>
      </w:numPr>
    </w:pPr>
  </w:style>
  <w:style w:type="paragraph" w:customStyle="1" w:styleId="Para0">
    <w:name w:val="Para0"/>
    <w:basedOn w:val="Base"/>
    <w:rsid w:val="00F34FEB"/>
  </w:style>
  <w:style w:type="paragraph" w:customStyle="1" w:styleId="Para0Title">
    <w:name w:val="Para0 Title"/>
    <w:basedOn w:val="Base"/>
    <w:next w:val="Para0"/>
    <w:rsid w:val="00F34FEB"/>
    <w:rPr>
      <w:b/>
      <w:bCs/>
    </w:rPr>
  </w:style>
  <w:style w:type="paragraph" w:customStyle="1" w:styleId="Para1">
    <w:name w:val="Para1"/>
    <w:basedOn w:val="Base"/>
    <w:rsid w:val="00F34FEB"/>
    <w:pPr>
      <w:ind w:left="357"/>
    </w:pPr>
  </w:style>
  <w:style w:type="paragraph" w:customStyle="1" w:styleId="Para1Title">
    <w:name w:val="Para1 Title"/>
    <w:basedOn w:val="Base"/>
    <w:next w:val="Para1"/>
    <w:rsid w:val="00F34FEB"/>
    <w:pPr>
      <w:ind w:left="357"/>
    </w:pPr>
    <w:rPr>
      <w:b/>
      <w:bCs/>
    </w:rPr>
  </w:style>
  <w:style w:type="paragraph" w:customStyle="1" w:styleId="Para2">
    <w:name w:val="Para2"/>
    <w:basedOn w:val="Base"/>
    <w:rsid w:val="00F34FEB"/>
    <w:pPr>
      <w:ind w:left="720"/>
    </w:pPr>
  </w:style>
  <w:style w:type="paragraph" w:customStyle="1" w:styleId="Para2Title">
    <w:name w:val="Para2 Title"/>
    <w:basedOn w:val="Base"/>
    <w:next w:val="Para2"/>
    <w:rsid w:val="00F34FEB"/>
    <w:pPr>
      <w:ind w:left="720"/>
    </w:pPr>
    <w:rPr>
      <w:b/>
      <w:bCs/>
    </w:rPr>
  </w:style>
  <w:style w:type="paragraph" w:customStyle="1" w:styleId="Para3">
    <w:name w:val="Para3"/>
    <w:basedOn w:val="Base"/>
    <w:rsid w:val="00F34FEB"/>
    <w:pPr>
      <w:ind w:left="1083"/>
    </w:pPr>
  </w:style>
  <w:style w:type="paragraph" w:customStyle="1" w:styleId="Para3Title">
    <w:name w:val="Para3 Title"/>
    <w:basedOn w:val="Base"/>
    <w:next w:val="Para3"/>
    <w:rsid w:val="00F34FEB"/>
    <w:pPr>
      <w:ind w:left="1083"/>
    </w:pPr>
    <w:rPr>
      <w:b/>
      <w:bCs/>
    </w:rPr>
  </w:style>
  <w:style w:type="paragraph" w:customStyle="1" w:styleId="Para4">
    <w:name w:val="Para4"/>
    <w:basedOn w:val="Base"/>
    <w:rsid w:val="00F34FEB"/>
    <w:pPr>
      <w:ind w:left="1440"/>
    </w:pPr>
  </w:style>
  <w:style w:type="paragraph" w:customStyle="1" w:styleId="Para4Title">
    <w:name w:val="Para4 Title"/>
    <w:basedOn w:val="Base"/>
    <w:rsid w:val="00F34FEB"/>
    <w:pPr>
      <w:ind w:left="1440"/>
    </w:pPr>
    <w:rPr>
      <w:b/>
      <w:bCs/>
    </w:rPr>
  </w:style>
  <w:style w:type="paragraph" w:customStyle="1" w:styleId="Para5">
    <w:name w:val="Para5"/>
    <w:basedOn w:val="Base"/>
    <w:qFormat/>
    <w:rsid w:val="00F34FEB"/>
    <w:pPr>
      <w:ind w:left="1854"/>
    </w:pPr>
  </w:style>
  <w:style w:type="paragraph" w:customStyle="1" w:styleId="Para5Title">
    <w:name w:val="Para5 Title"/>
    <w:basedOn w:val="Base"/>
    <w:qFormat/>
    <w:rsid w:val="00F34FEB"/>
    <w:pPr>
      <w:ind w:left="1854"/>
    </w:pPr>
    <w:rPr>
      <w:b/>
      <w:bCs/>
    </w:rPr>
  </w:style>
  <w:style w:type="paragraph" w:customStyle="1" w:styleId="Remark0">
    <w:name w:val="Remark0"/>
    <w:basedOn w:val="Base"/>
    <w:rsid w:val="00F34FEB"/>
    <w:pPr>
      <w:numPr>
        <w:numId w:val="23"/>
      </w:numPr>
    </w:pPr>
    <w:rPr>
      <w:i/>
      <w:iCs/>
    </w:rPr>
  </w:style>
  <w:style w:type="paragraph" w:customStyle="1" w:styleId="Remark1">
    <w:name w:val="Remark1"/>
    <w:basedOn w:val="Base"/>
    <w:rsid w:val="00F34FEB"/>
    <w:pPr>
      <w:numPr>
        <w:numId w:val="24"/>
      </w:numPr>
    </w:pPr>
    <w:rPr>
      <w:i/>
      <w:iCs/>
    </w:rPr>
  </w:style>
  <w:style w:type="paragraph" w:customStyle="1" w:styleId="Remark2">
    <w:name w:val="Remark2"/>
    <w:basedOn w:val="Base"/>
    <w:rsid w:val="00F34FEB"/>
    <w:pPr>
      <w:numPr>
        <w:numId w:val="25"/>
      </w:numPr>
    </w:pPr>
    <w:rPr>
      <w:i/>
      <w:iCs/>
    </w:rPr>
  </w:style>
  <w:style w:type="paragraph" w:customStyle="1" w:styleId="Remark3">
    <w:name w:val="Remark3"/>
    <w:basedOn w:val="Base"/>
    <w:rsid w:val="00F34FEB"/>
    <w:pPr>
      <w:numPr>
        <w:numId w:val="26"/>
      </w:numPr>
    </w:pPr>
    <w:rPr>
      <w:i/>
      <w:iCs/>
    </w:rPr>
  </w:style>
  <w:style w:type="paragraph" w:customStyle="1" w:styleId="Remark4">
    <w:name w:val="Remark4"/>
    <w:basedOn w:val="Base"/>
    <w:rsid w:val="00F34FEB"/>
    <w:pPr>
      <w:numPr>
        <w:numId w:val="27"/>
      </w:numPr>
    </w:pPr>
    <w:rPr>
      <w:i/>
      <w:iCs/>
    </w:rPr>
  </w:style>
  <w:style w:type="paragraph" w:customStyle="1" w:styleId="Remark5">
    <w:name w:val="Remark5"/>
    <w:basedOn w:val="Base"/>
    <w:rsid w:val="00F34FEB"/>
    <w:pPr>
      <w:numPr>
        <w:numId w:val="28"/>
      </w:numPr>
    </w:pPr>
    <w:rPr>
      <w:i/>
      <w:iCs/>
    </w:rPr>
  </w:style>
  <w:style w:type="paragraph" w:customStyle="1" w:styleId="SectionTitle">
    <w:name w:val="Section Title"/>
    <w:basedOn w:val="Base"/>
    <w:rsid w:val="00F34FEB"/>
    <w:pPr>
      <w:spacing w:after="120"/>
      <w:jc w:val="center"/>
    </w:pPr>
    <w:rPr>
      <w:b/>
      <w:bCs/>
      <w:sz w:val="32"/>
      <w:szCs w:val="36"/>
    </w:rPr>
  </w:style>
  <w:style w:type="paragraph" w:customStyle="1" w:styleId="SubjectTitle">
    <w:name w:val="Subject Title"/>
    <w:basedOn w:val="Base"/>
    <w:next w:val="Para1"/>
    <w:rsid w:val="00F34FEB"/>
    <w:pPr>
      <w:spacing w:before="360" w:after="240"/>
      <w:jc w:val="center"/>
    </w:pPr>
    <w:rPr>
      <w:b/>
      <w:bCs/>
      <w:smallCaps/>
      <w:spacing w:val="40"/>
      <w:sz w:val="40"/>
      <w:szCs w:val="44"/>
    </w:rPr>
  </w:style>
  <w:style w:type="paragraph" w:customStyle="1" w:styleId="TableCaption">
    <w:name w:val="Table Caption"/>
    <w:basedOn w:val="Base"/>
    <w:next w:val="Para1"/>
    <w:rsid w:val="00F34FEB"/>
    <w:pPr>
      <w:spacing w:after="120"/>
      <w:jc w:val="center"/>
    </w:pPr>
    <w:rPr>
      <w:b/>
      <w:bCs/>
    </w:rPr>
  </w:style>
  <w:style w:type="paragraph" w:customStyle="1" w:styleId="TableAlpha">
    <w:name w:val="TableAlpha"/>
    <w:basedOn w:val="Base"/>
    <w:qFormat/>
    <w:rsid w:val="00F34FEB"/>
    <w:pPr>
      <w:numPr>
        <w:numId w:val="29"/>
      </w:numPr>
      <w:spacing w:before="60" w:line="240" w:lineRule="exact"/>
      <w:jc w:val="left"/>
    </w:pPr>
  </w:style>
  <w:style w:type="paragraph" w:customStyle="1" w:styleId="TableBullet">
    <w:name w:val="TableBullet"/>
    <w:basedOn w:val="Base"/>
    <w:qFormat/>
    <w:rsid w:val="00F34FEB"/>
    <w:pPr>
      <w:numPr>
        <w:numId w:val="30"/>
      </w:numPr>
      <w:spacing w:before="60" w:line="240" w:lineRule="exact"/>
      <w:jc w:val="left"/>
    </w:pPr>
  </w:style>
  <w:style w:type="paragraph" w:customStyle="1" w:styleId="TableHead">
    <w:name w:val="TableHead"/>
    <w:basedOn w:val="Base"/>
    <w:rsid w:val="00F34FEB"/>
    <w:pPr>
      <w:spacing w:after="120"/>
      <w:jc w:val="center"/>
    </w:pPr>
    <w:rPr>
      <w:b/>
      <w:bCs/>
    </w:rPr>
  </w:style>
  <w:style w:type="paragraph" w:customStyle="1" w:styleId="TableNumeric">
    <w:name w:val="TableNumeric"/>
    <w:basedOn w:val="Base"/>
    <w:qFormat/>
    <w:rsid w:val="00F34FEB"/>
    <w:pPr>
      <w:numPr>
        <w:numId w:val="31"/>
      </w:numPr>
      <w:spacing w:before="60" w:line="240" w:lineRule="exact"/>
      <w:jc w:val="left"/>
    </w:pPr>
  </w:style>
  <w:style w:type="paragraph" w:customStyle="1" w:styleId="TableOutline">
    <w:name w:val="TableOutline"/>
    <w:basedOn w:val="Base"/>
    <w:rsid w:val="00F34FEB"/>
    <w:pPr>
      <w:numPr>
        <w:numId w:val="32"/>
      </w:numPr>
      <w:spacing w:before="60" w:line="240" w:lineRule="exact"/>
      <w:jc w:val="left"/>
    </w:pPr>
  </w:style>
  <w:style w:type="paragraph" w:customStyle="1" w:styleId="TableText">
    <w:name w:val="TableText"/>
    <w:basedOn w:val="Base"/>
    <w:rsid w:val="00F34FEB"/>
    <w:pPr>
      <w:spacing w:before="60" w:line="240" w:lineRule="exact"/>
      <w:jc w:val="left"/>
    </w:pPr>
  </w:style>
  <w:style w:type="paragraph" w:customStyle="1" w:styleId="TableTitle">
    <w:name w:val="TableTitle"/>
    <w:basedOn w:val="Base"/>
    <w:qFormat/>
    <w:rsid w:val="00F34FEB"/>
    <w:pPr>
      <w:spacing w:before="60" w:line="240" w:lineRule="exact"/>
      <w:jc w:val="left"/>
    </w:pPr>
    <w:rPr>
      <w:b/>
      <w:bCs/>
    </w:rPr>
  </w:style>
  <w:style w:type="paragraph" w:styleId="TOC1">
    <w:name w:val="toc 1"/>
    <w:basedOn w:val="Base"/>
    <w:next w:val="Para0"/>
    <w:link w:val="TOC10"/>
    <w:uiPriority w:val="39"/>
    <w:qFormat/>
    <w:rsid w:val="00F34FEB"/>
    <w:pPr>
      <w:tabs>
        <w:tab w:val="left" w:pos="1134"/>
        <w:tab w:val="left" w:leader="dot" w:pos="8505"/>
      </w:tabs>
      <w:ind w:left="567" w:right="567"/>
      <w:contextualSpacing/>
    </w:pPr>
    <w:rPr>
      <w:b/>
      <w:bCs/>
    </w:rPr>
  </w:style>
  <w:style w:type="paragraph" w:styleId="TOC2">
    <w:name w:val="toc 2"/>
    <w:basedOn w:val="Base"/>
    <w:next w:val="Para0"/>
    <w:uiPriority w:val="39"/>
    <w:qFormat/>
    <w:rsid w:val="00F34FEB"/>
    <w:pPr>
      <w:tabs>
        <w:tab w:val="left" w:pos="1134"/>
        <w:tab w:val="left" w:leader="dot" w:pos="8505"/>
      </w:tabs>
      <w:spacing w:before="0"/>
      <w:ind w:left="567" w:right="567"/>
      <w:contextualSpacing/>
    </w:pPr>
    <w:rPr>
      <w:rFonts w:cs="Times New Roman"/>
    </w:rPr>
  </w:style>
  <w:style w:type="paragraph" w:styleId="TOC3">
    <w:name w:val="toc 3"/>
    <w:basedOn w:val="Base"/>
    <w:next w:val="Para0"/>
    <w:uiPriority w:val="39"/>
    <w:qFormat/>
    <w:rsid w:val="00F34FEB"/>
    <w:pPr>
      <w:tabs>
        <w:tab w:val="left" w:pos="1418"/>
        <w:tab w:val="left" w:leader="dot" w:pos="8505"/>
      </w:tabs>
      <w:bidi/>
      <w:spacing w:before="0"/>
      <w:ind w:left="567" w:right="567"/>
      <w:contextualSpacing/>
    </w:pPr>
  </w:style>
  <w:style w:type="paragraph" w:styleId="TOC4">
    <w:name w:val="toc 4"/>
    <w:basedOn w:val="Base"/>
    <w:next w:val="Para0"/>
    <w:uiPriority w:val="39"/>
    <w:rsid w:val="00F34FEB"/>
    <w:pPr>
      <w:tabs>
        <w:tab w:val="left" w:pos="1418"/>
        <w:tab w:val="left" w:leader="dot" w:pos="8505"/>
      </w:tabs>
      <w:bidi/>
      <w:spacing w:before="0"/>
      <w:ind w:left="567" w:right="567"/>
    </w:pPr>
  </w:style>
  <w:style w:type="paragraph" w:styleId="TOC5">
    <w:name w:val="toc 5"/>
    <w:basedOn w:val="Base"/>
    <w:next w:val="Para0"/>
    <w:uiPriority w:val="39"/>
    <w:rsid w:val="00F34FEB"/>
    <w:pPr>
      <w:tabs>
        <w:tab w:val="left" w:pos="1701"/>
        <w:tab w:val="left" w:leader="dot" w:pos="8505"/>
      </w:tabs>
      <w:bidi/>
      <w:spacing w:before="0"/>
      <w:ind w:left="567" w:right="567"/>
      <w:contextualSpacing/>
    </w:pPr>
  </w:style>
  <w:style w:type="paragraph" w:styleId="TOC6">
    <w:name w:val="toc 6"/>
    <w:basedOn w:val="Base"/>
    <w:next w:val="Base"/>
    <w:uiPriority w:val="39"/>
    <w:unhideWhenUsed/>
    <w:rsid w:val="00F34FEB"/>
    <w:pPr>
      <w:tabs>
        <w:tab w:val="left" w:leader="dot" w:pos="8505"/>
      </w:tabs>
      <w:ind w:left="1287" w:right="567" w:hanging="720"/>
    </w:pPr>
  </w:style>
  <w:style w:type="paragraph" w:styleId="TOC7">
    <w:name w:val="toc 7"/>
    <w:basedOn w:val="a"/>
    <w:next w:val="a"/>
    <w:autoRedefine/>
    <w:uiPriority w:val="39"/>
    <w:semiHidden/>
    <w:unhideWhenUsed/>
    <w:rsid w:val="00F34FEB"/>
    <w:pPr>
      <w:spacing w:after="100"/>
      <w:ind w:left="1440"/>
    </w:pPr>
  </w:style>
  <w:style w:type="paragraph" w:styleId="TOC8">
    <w:name w:val="toc 8"/>
    <w:basedOn w:val="a"/>
    <w:next w:val="a"/>
    <w:autoRedefine/>
    <w:uiPriority w:val="39"/>
    <w:semiHidden/>
    <w:unhideWhenUsed/>
    <w:rsid w:val="00F34FEB"/>
    <w:pPr>
      <w:spacing w:after="100"/>
      <w:ind w:left="1680"/>
    </w:pPr>
  </w:style>
  <w:style w:type="paragraph" w:styleId="TOC9">
    <w:name w:val="toc 9"/>
    <w:basedOn w:val="a"/>
    <w:next w:val="a"/>
    <w:autoRedefine/>
    <w:uiPriority w:val="39"/>
    <w:semiHidden/>
    <w:unhideWhenUsed/>
    <w:rsid w:val="00F34FEB"/>
    <w:pPr>
      <w:spacing w:after="100"/>
      <w:ind w:left="1920"/>
    </w:pPr>
  </w:style>
  <w:style w:type="paragraph" w:customStyle="1" w:styleId="BulletList">
    <w:name w:val="Bullet List"/>
    <w:basedOn w:val="Base"/>
    <w:rsid w:val="00F34FEB"/>
    <w:pPr>
      <w:spacing w:line="320" w:lineRule="exact"/>
    </w:pPr>
  </w:style>
  <w:style w:type="paragraph" w:customStyle="1" w:styleId="Normal1">
    <w:name w:val="Normal1"/>
    <w:basedOn w:val="Base"/>
    <w:rsid w:val="00F34FEB"/>
    <w:pPr>
      <w:spacing w:line="320" w:lineRule="exact"/>
      <w:ind w:left="397"/>
    </w:pPr>
  </w:style>
  <w:style w:type="paragraph" w:customStyle="1" w:styleId="Normal2">
    <w:name w:val="Normal2"/>
    <w:basedOn w:val="Base"/>
    <w:rsid w:val="00F34FEB"/>
    <w:pPr>
      <w:spacing w:line="320" w:lineRule="exact"/>
      <w:ind w:left="795"/>
    </w:pPr>
  </w:style>
  <w:style w:type="table" w:styleId="a3">
    <w:name w:val="Table Grid"/>
    <w:basedOn w:val="a1"/>
    <w:uiPriority w:val="59"/>
    <w:rsid w:val="00F3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Char">
    <w:name w:val="Base Char"/>
    <w:basedOn w:val="a0"/>
    <w:link w:val="Base"/>
    <w:rsid w:val="00F34FEB"/>
    <w:rPr>
      <w:rFonts w:eastAsia="Times New Roman"/>
      <w:sz w:val="24"/>
      <w:lang w:eastAsia="he-IL"/>
    </w:rPr>
  </w:style>
  <w:style w:type="paragraph" w:styleId="a4">
    <w:name w:val="Balloon Text"/>
    <w:basedOn w:val="a"/>
    <w:link w:val="a5"/>
    <w:uiPriority w:val="99"/>
    <w:semiHidden/>
    <w:unhideWhenUsed/>
    <w:rsid w:val="00F34FEB"/>
    <w:rPr>
      <w:rFonts w:ascii="Tahoma" w:hAnsi="Tahoma" w:cs="Tahoma"/>
      <w:sz w:val="16"/>
      <w:szCs w:val="16"/>
    </w:rPr>
  </w:style>
  <w:style w:type="character" w:customStyle="1" w:styleId="a5">
    <w:name w:val="טקסט בלונים תו"/>
    <w:basedOn w:val="a0"/>
    <w:link w:val="a4"/>
    <w:uiPriority w:val="99"/>
    <w:semiHidden/>
    <w:rsid w:val="00F34FEB"/>
    <w:rPr>
      <w:rFonts w:ascii="Tahoma" w:eastAsia="Times New Roman" w:hAnsi="Tahoma" w:cs="Tahoma"/>
      <w:sz w:val="16"/>
      <w:szCs w:val="16"/>
    </w:rPr>
  </w:style>
  <w:style w:type="character" w:styleId="Hyperlink">
    <w:name w:val="Hyperlink"/>
    <w:basedOn w:val="a0"/>
    <w:uiPriority w:val="99"/>
    <w:rsid w:val="00F34FEB"/>
    <w:rPr>
      <w:color w:val="0000FF"/>
      <w:u w:val="single"/>
    </w:rPr>
  </w:style>
  <w:style w:type="character" w:customStyle="1" w:styleId="TOC10">
    <w:name w:val="TOC 1 תו"/>
    <w:basedOn w:val="BaseChar"/>
    <w:link w:val="TOC1"/>
    <w:uiPriority w:val="39"/>
    <w:rsid w:val="00F34FEB"/>
    <w:rPr>
      <w:rFonts w:eastAsia="Times New Roman"/>
      <w:b/>
      <w:bCs/>
      <w:sz w:val="24"/>
      <w:lang w:eastAsia="he-IL"/>
    </w:rPr>
  </w:style>
  <w:style w:type="paragraph" w:styleId="a6">
    <w:name w:val="TOC Heading"/>
    <w:basedOn w:val="SectionTitle"/>
    <w:next w:val="Para0"/>
    <w:uiPriority w:val="39"/>
    <w:unhideWhenUsed/>
    <w:qFormat/>
    <w:rsid w:val="00F34FEB"/>
    <w:pPr>
      <w:keepNext/>
      <w:keepLines/>
    </w:pPr>
    <w:rPr>
      <w:rFonts w:eastAsiaTheme="majorEastAsia" w:cstheme="majorBidi"/>
      <w:szCs w:val="28"/>
      <w:lang w:eastAsia="ja-JP" w:bidi="ar-SA"/>
    </w:rPr>
  </w:style>
  <w:style w:type="paragraph" w:customStyle="1" w:styleId="NumberList">
    <w:name w:val="Number List"/>
    <w:basedOn w:val="Base"/>
    <w:rsid w:val="00E75436"/>
    <w:pPr>
      <w:numPr>
        <w:numId w:val="33"/>
      </w:numPr>
    </w:pPr>
  </w:style>
  <w:style w:type="paragraph" w:styleId="a7">
    <w:name w:val="header"/>
    <w:basedOn w:val="a"/>
    <w:link w:val="a8"/>
    <w:unhideWhenUsed/>
    <w:rsid w:val="00E75436"/>
    <w:pPr>
      <w:tabs>
        <w:tab w:val="center" w:pos="4153"/>
        <w:tab w:val="right" w:pos="8306"/>
      </w:tabs>
    </w:pPr>
  </w:style>
  <w:style w:type="character" w:customStyle="1" w:styleId="a8">
    <w:name w:val="כותרת עליונה תו"/>
    <w:basedOn w:val="a0"/>
    <w:link w:val="a7"/>
    <w:rsid w:val="00E75436"/>
    <w:rPr>
      <w:rFonts w:eastAsia="Times New Roman"/>
      <w:sz w:val="24"/>
    </w:rPr>
  </w:style>
  <w:style w:type="paragraph" w:styleId="a9">
    <w:name w:val="footer"/>
    <w:basedOn w:val="a"/>
    <w:link w:val="aa"/>
    <w:unhideWhenUsed/>
    <w:rsid w:val="00E75436"/>
    <w:pPr>
      <w:tabs>
        <w:tab w:val="center" w:pos="4153"/>
        <w:tab w:val="right" w:pos="8306"/>
      </w:tabs>
    </w:pPr>
  </w:style>
  <w:style w:type="character" w:customStyle="1" w:styleId="aa">
    <w:name w:val="כותרת תחתונה תו"/>
    <w:basedOn w:val="a0"/>
    <w:link w:val="a9"/>
    <w:rsid w:val="00E7543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21712">
      <w:bodyDiv w:val="1"/>
      <w:marLeft w:val="0"/>
      <w:marRight w:val="0"/>
      <w:marTop w:val="0"/>
      <w:marBottom w:val="0"/>
      <w:divBdr>
        <w:top w:val="none" w:sz="0" w:space="0" w:color="auto"/>
        <w:left w:val="none" w:sz="0" w:space="0" w:color="auto"/>
        <w:bottom w:val="none" w:sz="0" w:space="0" w:color="auto"/>
        <w:right w:val="none" w:sz="0" w:space="0" w:color="auto"/>
      </w:divBdr>
    </w:div>
    <w:div w:id="1251890946">
      <w:bodyDiv w:val="1"/>
      <w:marLeft w:val="0"/>
      <w:marRight w:val="0"/>
      <w:marTop w:val="0"/>
      <w:marBottom w:val="0"/>
      <w:divBdr>
        <w:top w:val="none" w:sz="0" w:space="0" w:color="auto"/>
        <w:left w:val="none" w:sz="0" w:space="0" w:color="auto"/>
        <w:bottom w:val="none" w:sz="0" w:space="0" w:color="auto"/>
        <w:right w:val="none" w:sz="0" w:space="0" w:color="auto"/>
      </w:divBdr>
    </w:div>
    <w:div w:id="12824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E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66DF-4ABB-4443-A03E-132EE58C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MethodA_E14</Template>
  <TotalTime>10</TotalTime>
  <Pages>11</Pages>
  <Words>3625</Words>
  <Characters>18128</Characters>
  <Application>Microsoft Office Word</Application>
  <DocSecurity>0</DocSecurity>
  <Lines>151</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RFCON - REQUEST FOR CONSULTANT</vt:lpstr>
      <vt:lpstr/>
    </vt:vector>
  </TitlesOfParts>
  <Company>&lt;Organization&gt;</Company>
  <LinksUpToDate>false</LinksUpToDate>
  <CharactersWithSpaces>21710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RFCON - REQUEST FOR CONSULTANT</dc:title>
  <dc:subject>&lt;System Name&gt;</dc:subject>
  <dc:creator>&lt;Author&gt;</dc:creator>
  <cp:lastModifiedBy>שמעון אפק</cp:lastModifiedBy>
  <cp:revision>5</cp:revision>
  <cp:lastPrinted>2011-06-13T10:11:00Z</cp:lastPrinted>
  <dcterms:created xsi:type="dcterms:W3CDTF">2014-10-21T12:16:00Z</dcterms:created>
  <dcterms:modified xsi:type="dcterms:W3CDTF">2015-04-05T09:43:00Z</dcterms:modified>
  <cp:category>&lt;Classification&gt;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irectory">
    <vt:lpwstr>C:\Program Files (x86)\Methoda\New MethodA\Directory_in\</vt:lpwstr>
  </property>
  <property fmtid="{D5CDD505-2E9C-101B-9397-08002B2CF9AE}" pid="3" name="outdirectory">
    <vt:lpwstr>C:\Program Files (x86)\Methoda\New MethodA\Directory_out\</vt:lpwstr>
  </property>
  <property fmtid="{D5CDD505-2E9C-101B-9397-08002B2CF9AE}" pid="4" name="tamartmpltdir">
    <vt:lpwstr>C:\Program Files (x86)\Methoda\New MethodA\Tamar_Templates\</vt:lpwstr>
  </property>
  <property fmtid="{D5CDD505-2E9C-101B-9397-08002B2CF9AE}" pid="5" name="tamarcompdir">
    <vt:lpwstr>C:\Program Files (x86)\Methoda\New MethodA\Tamar_Components\</vt:lpwstr>
  </property>
  <property fmtid="{D5CDD505-2E9C-101B-9397-08002B2CF9AE}" pid="6" name="tmpltsdir">
    <vt:lpwstr>c:\users\shimona\appdata\roaming\microsoft\templates</vt:lpwstr>
  </property>
  <property fmtid="{D5CDD505-2E9C-101B-9397-08002B2CF9AE}" pid="7" name="methodadir">
    <vt:lpwstr>M:\MethodA_10\</vt:lpwstr>
  </property>
  <property fmtid="{D5CDD505-2E9C-101B-9397-08002B2CF9AE}" pid="8" name="qmsdir">
    <vt:lpwstr>K:\METHODA_QMS\פורטל מערכת האיכות.htm</vt:lpwstr>
  </property>
</Properties>
</file>