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800"/>
        <w:gridCol w:w="5096"/>
        <w:gridCol w:w="1024"/>
        <w:gridCol w:w="849"/>
      </w:tblGrid>
      <w:tr w:rsidR="001B570F" w:rsidTr="00F4549F">
        <w:trPr>
          <w:trHeight w:val="440"/>
          <w:tblHeader/>
        </w:trPr>
        <w:tc>
          <w:tcPr>
            <w:tcW w:w="539" w:type="dxa"/>
            <w:vMerge w:val="restart"/>
            <w:shd w:val="clear" w:color="auto" w:fill="F3F3F3"/>
          </w:tcPr>
          <w:p w:rsidR="001B570F" w:rsidRDefault="008974FB" w:rsidP="008974FB">
            <w:pPr>
              <w:pStyle w:val="TableHead"/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800" w:type="dxa"/>
            <w:vMerge w:val="restart"/>
            <w:shd w:val="clear" w:color="auto" w:fill="F3F3F3"/>
          </w:tcPr>
          <w:p w:rsidR="001B570F" w:rsidRDefault="001B570F" w:rsidP="00F4549F">
            <w:pPr>
              <w:pStyle w:val="TableHead"/>
              <w:jc w:val="left"/>
            </w:pPr>
            <w:r>
              <w:rPr>
                <w:rFonts w:hint="cs"/>
                <w:rtl/>
              </w:rPr>
              <w:t>נושא</w:t>
            </w:r>
          </w:p>
        </w:tc>
        <w:tc>
          <w:tcPr>
            <w:tcW w:w="5096" w:type="dxa"/>
            <w:vMerge w:val="restart"/>
            <w:shd w:val="clear" w:color="auto" w:fill="F3F3F3"/>
          </w:tcPr>
          <w:p w:rsidR="001B570F" w:rsidRDefault="001B570F" w:rsidP="00F4549F">
            <w:pPr>
              <w:pStyle w:val="TableHead"/>
              <w:jc w:val="left"/>
            </w:pPr>
            <w:r>
              <w:rPr>
                <w:rFonts w:hint="cs"/>
                <w:rtl/>
              </w:rPr>
              <w:t>פירוט</w:t>
            </w:r>
          </w:p>
        </w:tc>
        <w:tc>
          <w:tcPr>
            <w:tcW w:w="1873" w:type="dxa"/>
            <w:gridSpan w:val="2"/>
            <w:shd w:val="clear" w:color="auto" w:fill="F3F3F3"/>
          </w:tcPr>
          <w:p w:rsidR="001B570F" w:rsidRDefault="001B570F" w:rsidP="00F4549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br w:type="page"/>
              <w:t>אחריות</w:t>
            </w:r>
          </w:p>
        </w:tc>
      </w:tr>
      <w:tr w:rsidR="001B570F" w:rsidTr="00F4549F">
        <w:trPr>
          <w:trHeight w:val="560"/>
          <w:tblHeader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</w:pPr>
          </w:p>
        </w:tc>
        <w:tc>
          <w:tcPr>
            <w:tcW w:w="5096" w:type="dxa"/>
            <w:vMerge/>
          </w:tcPr>
          <w:p w:rsidR="001B570F" w:rsidRDefault="001B570F" w:rsidP="00F4549F">
            <w:pPr>
              <w:pStyle w:val="TableText"/>
            </w:pPr>
          </w:p>
        </w:tc>
        <w:tc>
          <w:tcPr>
            <w:tcW w:w="1024" w:type="dxa"/>
            <w:shd w:val="clear" w:color="auto" w:fill="F3F3F3"/>
          </w:tcPr>
          <w:p w:rsidR="001B570F" w:rsidRDefault="001B570F" w:rsidP="00F4549F">
            <w:pPr>
              <w:pStyle w:val="TableHead"/>
            </w:pPr>
            <w:r>
              <w:rPr>
                <w:rFonts w:hint="cs"/>
                <w:rtl/>
              </w:rPr>
              <w:t>ספק</w:t>
            </w:r>
          </w:p>
        </w:tc>
        <w:tc>
          <w:tcPr>
            <w:tcW w:w="849" w:type="dxa"/>
            <w:shd w:val="clear" w:color="auto" w:fill="F3F3F3"/>
          </w:tcPr>
          <w:p w:rsidR="001B570F" w:rsidRDefault="001B570F" w:rsidP="00F4549F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הארגון</w:t>
            </w:r>
          </w:p>
        </w:tc>
      </w:tr>
      <w:tr w:rsidR="001B570F" w:rsidTr="00F4549F">
        <w:trPr>
          <w:trHeight w:val="360"/>
        </w:trPr>
        <w:tc>
          <w:tcPr>
            <w:tcW w:w="539" w:type="dxa"/>
            <w:vMerge w:val="restart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  <w:vMerge w:val="restart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מדיניות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גיבוש הצעה למדיניות טכנולוגית המידע, אחת לשנה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360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אישור למדיניות טכנולוגית המידע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445"/>
        </w:trPr>
        <w:tc>
          <w:tcPr>
            <w:tcW w:w="539" w:type="dxa"/>
            <w:vMerge w:val="restart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  <w:vMerge w:val="restart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תוכניות עבודה 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הצעת עדיפויות וקווים מנחים, אחת לשנה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אישור עדיפויות וקווים מנחים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בניית הצעה לתוכנית עבודה שנתית ועדכון רבעוני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אישור תוכניות עבודה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מעקב אחר ביצוע תוכניות עבודה  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ייזום שינויים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229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וביצוע שינויים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 w:val="restart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  <w:vMerge w:val="restart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מנגנוני ניהול ואבטחת איכות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בניית הצעה למערך נהלי עבודה ודיווח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אישור מערך נהלי עבודה ודיווח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הדרכה והטמעה של הנהלים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מדידה ושיפור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קיום ועדות תקופתיות - היגוי, מעקב וניהול שוטף 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הגשת דיווחים תקופתיים בנושא השירותים, עמידה ברמת שירות, תוכניות עבודה, ניצול משאבים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 w:val="restart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  <w:vMerge w:val="restart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ותפעול מרכז המחשבים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מתקן המחשב המרכזי ותחזוקתו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הפעלה, הרצת יישומים, ניטור, העברה לייצור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הפעלת ספקי שירותים בתפעול המערכות וביצוע המנשקים עימם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274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ותפעול מערך הגיבוי וההתאוששות מאסון, על-פי מדיניות מאושרת של ה</w:t>
            </w:r>
            <w:r w:rsidR="00F4549F">
              <w:rPr>
                <w:rFonts w:hint="cs"/>
                <w:rtl/>
              </w:rPr>
              <w:t>ארגון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274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תכנון קיבולת העבודה (</w:t>
            </w:r>
            <w:r>
              <w:t>Capacity Planning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274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שינויים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383"/>
        </w:trPr>
        <w:tc>
          <w:tcPr>
            <w:tcW w:w="539" w:type="dxa"/>
            <w:vMerge w:val="restart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  <w:vMerge w:val="restart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ותחזוקת מערכות הפעלה (</w:t>
            </w:r>
            <w:r>
              <w:t>SYS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ניהול מערכות הפעלה ותוכנות תשתית אחרות. 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313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תחזוקת מערכות הפעלה.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308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ובקרה אחר ביצועי המערכות.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248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סיוע לצוותי הפיתוח, כולל כתיבה של תוכניות שירות.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534"/>
        </w:trPr>
        <w:tc>
          <w:tcPr>
            <w:tcW w:w="539" w:type="dxa"/>
            <w:vMerge w:val="restart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  <w:vMerge w:val="restart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ותחזוקת בסיסי נתונים (</w:t>
            </w:r>
            <w:r>
              <w:t>DBA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תחזוקת תוכנות בסיסי הנתונים, בקרה על ביצועי בסיסי הנתונים וביצוע פעולות נדרשות לשיפור הביצועים.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534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מערך הגיבויים לבסיסי הנתונים ובקרה על תפוסת הדיסקים והתראות.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534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תמיכה בצוותי פיתוח יישומים, לרבות הכנת סביבות ניסוי, עיצוב בסיסי נתונים, הסבת נתונים וביצועים.</w:t>
            </w:r>
          </w:p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שוטף של  הגדרות בסיסי הנתונים ע"פ דרישות צוותי הפיתוח, כולל הכנת טבלאות.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534"/>
        </w:trPr>
        <w:tc>
          <w:tcPr>
            <w:tcW w:w="539" w:type="dxa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תקשורת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ניהול, תפעול ותחזוקת רשתות התקשורת המקומיות (</w:t>
            </w:r>
            <w:r>
              <w:t>LAN</w:t>
            </w:r>
            <w:r>
              <w:rPr>
                <w:rFonts w:hint="cs"/>
                <w:rtl/>
              </w:rPr>
              <w:t>) והרחבות (</w:t>
            </w:r>
            <w:r>
              <w:t>WAN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534"/>
        </w:trPr>
        <w:tc>
          <w:tcPr>
            <w:tcW w:w="539" w:type="dxa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שרתים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שרתים ותחזוקתם באתרים מקומיים ומרוחקים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534"/>
        </w:trPr>
        <w:tc>
          <w:tcPr>
            <w:tcW w:w="539" w:type="dxa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ציוד קצה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טיפול בתחנות עבודה נייחות וניידות, מדפסות וציוד קצה אחר ותחזוקתם.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534"/>
        </w:trPr>
        <w:tc>
          <w:tcPr>
            <w:tcW w:w="539" w:type="dxa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רענון ציוד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ביצוע שדרוגים טכנולוגיים למערכות חומרה על-פי תכניות רענון.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 w:val="restart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  <w:vMerge w:val="restart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מרכז תמיכה במשתמשים 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ותפעול מרכז לתמיכה במשתמשים מורשים בנושאי חומרה, תוכנה בסיסית, תשתיות ותפעול מערכות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איוש המרכז בשעות הפעילות כמפורט ב-</w:t>
            </w:r>
            <w:r>
              <w:t>SLA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360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מענה לפניות ופתרון בעיות במהלך הפניה הראשונה (דרג א')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360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תקלות בדרגים א', ב', ו-ג' ומעקב אחר סטאטוס טיפול, באמצעות מערכת לניהול מוקד.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מצאי חומרה ותוכנה, כולל ספירת מלאי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 w:val="restart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  <w:vMerge w:val="restart"/>
          </w:tcPr>
          <w:p w:rsidR="001B570F" w:rsidRDefault="001B570F" w:rsidP="00F4549F">
            <w:pPr>
              <w:pStyle w:val="TableText"/>
              <w:rPr>
                <w:color w:val="00FFFF"/>
              </w:rPr>
            </w:pPr>
            <w:r>
              <w:t>IMAC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ייזום פעילות </w:t>
            </w:r>
            <w:r>
              <w:t>IMAC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  <w:rPr>
                <w:color w:val="00FFFF"/>
              </w:rPr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אישור לביצוע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  <w:rPr>
                <w:color w:val="00FFFF"/>
              </w:rPr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ביצוע פעילות </w:t>
            </w:r>
            <w:r>
              <w:t>IMAC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 w:val="restart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  <w:vMerge w:val="restart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שינויים ושיפורים (שו"ש)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ייזום 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אישור לביצוע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הערכה של לו"ז ותקציב והגשת הצעה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אישור לו"ז ותקציב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ביצוע ובדיקות 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אישור קבלה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אישור לכניסה ליצור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העברת מערכות מפיתוח ליצור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שירותי ייעוץ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ייעוץ טכנולוגי על-מנת לשמור על עדכניות טכנולוגית  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F4549F" w:rsidTr="00F4549F">
        <w:tc>
          <w:tcPr>
            <w:tcW w:w="539" w:type="dxa"/>
            <w:vMerge w:val="restart"/>
          </w:tcPr>
          <w:p w:rsidR="00F4549F" w:rsidRDefault="00F4549F" w:rsidP="008974FB">
            <w:pPr>
              <w:pStyle w:val="TableNumeric"/>
            </w:pPr>
          </w:p>
        </w:tc>
        <w:tc>
          <w:tcPr>
            <w:tcW w:w="1800" w:type="dxa"/>
            <w:vMerge w:val="restart"/>
          </w:tcPr>
          <w:p w:rsidR="00F4549F" w:rsidRDefault="00F4549F" w:rsidP="00F4549F">
            <w:pPr>
              <w:pStyle w:val="TableText"/>
            </w:pPr>
            <w:r>
              <w:rPr>
                <w:rFonts w:hint="cs"/>
                <w:rtl/>
              </w:rPr>
              <w:t>שירותי רכש</w:t>
            </w:r>
          </w:p>
        </w:tc>
        <w:tc>
          <w:tcPr>
            <w:tcW w:w="5096" w:type="dxa"/>
          </w:tcPr>
          <w:p w:rsidR="00F4549F" w:rsidRDefault="00F4549F" w:rsidP="00F4549F">
            <w:pPr>
              <w:pStyle w:val="TableText"/>
            </w:pPr>
            <w:r>
              <w:rPr>
                <w:rFonts w:hint="cs"/>
                <w:rtl/>
              </w:rPr>
              <w:t xml:space="preserve">הכנת תכנית רכש ציוד ותוכנה בתחום התשתיות והתפעול </w:t>
            </w:r>
          </w:p>
        </w:tc>
        <w:tc>
          <w:tcPr>
            <w:tcW w:w="1024" w:type="dxa"/>
          </w:tcPr>
          <w:p w:rsidR="00F4549F" w:rsidRDefault="00F4549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F4549F" w:rsidRDefault="00F4549F" w:rsidP="00F4549F">
            <w:pPr>
              <w:pStyle w:val="TableText"/>
              <w:jc w:val="center"/>
            </w:pPr>
          </w:p>
        </w:tc>
      </w:tr>
      <w:tr w:rsidR="00F4549F" w:rsidTr="00F4549F">
        <w:tc>
          <w:tcPr>
            <w:tcW w:w="539" w:type="dxa"/>
            <w:vMerge/>
          </w:tcPr>
          <w:p w:rsidR="00F4549F" w:rsidRDefault="00F4549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F4549F" w:rsidRDefault="00F4549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F4549F" w:rsidRDefault="00F4549F" w:rsidP="00F4549F">
            <w:pPr>
              <w:pStyle w:val="TableText"/>
            </w:pPr>
            <w:r>
              <w:rPr>
                <w:rFonts w:hint="cs"/>
                <w:rtl/>
              </w:rPr>
              <w:t>אישור תכניות רכש</w:t>
            </w:r>
          </w:p>
        </w:tc>
        <w:tc>
          <w:tcPr>
            <w:tcW w:w="1024" w:type="dxa"/>
          </w:tcPr>
          <w:p w:rsidR="00F4549F" w:rsidRDefault="00F4549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F4549F" w:rsidRDefault="00F4549F" w:rsidP="00F4549F">
            <w:pPr>
              <w:pStyle w:val="TableText"/>
              <w:jc w:val="center"/>
            </w:pPr>
          </w:p>
        </w:tc>
      </w:tr>
      <w:tr w:rsidR="00F4549F" w:rsidTr="00F4549F">
        <w:tc>
          <w:tcPr>
            <w:tcW w:w="539" w:type="dxa"/>
            <w:vMerge/>
          </w:tcPr>
          <w:p w:rsidR="00F4549F" w:rsidRDefault="00F4549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F4549F" w:rsidRDefault="00F4549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F4549F" w:rsidRDefault="00F4549F" w:rsidP="00F4549F">
            <w:pPr>
              <w:pStyle w:val="TableText"/>
            </w:pPr>
            <w:r>
              <w:rPr>
                <w:rFonts w:hint="cs"/>
                <w:rtl/>
              </w:rPr>
              <w:t>הכנת מפרט לביצוע רכש</w:t>
            </w:r>
          </w:p>
        </w:tc>
        <w:tc>
          <w:tcPr>
            <w:tcW w:w="1024" w:type="dxa"/>
          </w:tcPr>
          <w:p w:rsidR="00F4549F" w:rsidRDefault="00F4549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F4549F" w:rsidRDefault="00F4549F" w:rsidP="00F4549F">
            <w:pPr>
              <w:pStyle w:val="TableText"/>
              <w:jc w:val="center"/>
            </w:pPr>
          </w:p>
        </w:tc>
      </w:tr>
      <w:tr w:rsidR="00F4549F" w:rsidTr="00F4549F">
        <w:tc>
          <w:tcPr>
            <w:tcW w:w="539" w:type="dxa"/>
            <w:vMerge/>
          </w:tcPr>
          <w:p w:rsidR="00F4549F" w:rsidRDefault="00F4549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F4549F" w:rsidRDefault="00F4549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F4549F" w:rsidRDefault="00F4549F" w:rsidP="00F4549F">
            <w:pPr>
              <w:pStyle w:val="TableText"/>
            </w:pPr>
            <w:r>
              <w:rPr>
                <w:rFonts w:hint="cs"/>
                <w:rtl/>
              </w:rPr>
              <w:t>אישור מפרט הרכש</w:t>
            </w:r>
          </w:p>
        </w:tc>
        <w:tc>
          <w:tcPr>
            <w:tcW w:w="1024" w:type="dxa"/>
          </w:tcPr>
          <w:p w:rsidR="00F4549F" w:rsidRDefault="00F4549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F4549F" w:rsidRDefault="00F4549F" w:rsidP="00F4549F">
            <w:pPr>
              <w:pStyle w:val="TableText"/>
              <w:jc w:val="center"/>
            </w:pPr>
          </w:p>
        </w:tc>
      </w:tr>
      <w:tr w:rsidR="00F4549F" w:rsidTr="00F4549F">
        <w:tc>
          <w:tcPr>
            <w:tcW w:w="539" w:type="dxa"/>
            <w:vMerge/>
          </w:tcPr>
          <w:p w:rsidR="00F4549F" w:rsidRDefault="00F4549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F4549F" w:rsidRDefault="00F4549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F4549F" w:rsidRDefault="00F4549F" w:rsidP="00F4549F">
            <w:pPr>
              <w:pStyle w:val="TableText"/>
            </w:pPr>
            <w:r>
              <w:rPr>
                <w:rFonts w:hint="cs"/>
                <w:rtl/>
              </w:rPr>
              <w:t xml:space="preserve">ביצוע תהליך רכש </w:t>
            </w:r>
          </w:p>
        </w:tc>
        <w:tc>
          <w:tcPr>
            <w:tcW w:w="1024" w:type="dxa"/>
          </w:tcPr>
          <w:p w:rsidR="00F4549F" w:rsidRDefault="00F4549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F4549F" w:rsidRDefault="00F4549F" w:rsidP="00F4549F">
            <w:pPr>
              <w:pStyle w:val="TableText"/>
              <w:jc w:val="center"/>
            </w:pPr>
          </w:p>
        </w:tc>
      </w:tr>
      <w:tr w:rsidR="00F4549F" w:rsidTr="00F4549F">
        <w:tc>
          <w:tcPr>
            <w:tcW w:w="539" w:type="dxa"/>
            <w:vMerge/>
          </w:tcPr>
          <w:p w:rsidR="00F4549F" w:rsidRDefault="00F4549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F4549F" w:rsidRDefault="00F4549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F4549F" w:rsidRDefault="00F4549F" w:rsidP="00F4549F">
            <w:pPr>
              <w:pStyle w:val="TableText"/>
            </w:pPr>
            <w:r>
              <w:rPr>
                <w:rFonts w:hint="cs"/>
                <w:rtl/>
              </w:rPr>
              <w:t>קבלת המוצר, בדיקתו והתקנתו</w:t>
            </w:r>
          </w:p>
        </w:tc>
        <w:tc>
          <w:tcPr>
            <w:tcW w:w="1024" w:type="dxa"/>
          </w:tcPr>
          <w:p w:rsidR="00F4549F" w:rsidRDefault="00F4549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F4549F" w:rsidRDefault="00F4549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 w:val="restart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  <w:vMerge w:val="restart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מלאי (אינוונטר)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ניהול מלאי תוכנה, חומרה ותקשורת 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ספירות מלאי תקופתיות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עדכון ודיווח תקופתי על המלאי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 w:val="restart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  <w:vMerge w:val="restart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ניהול </w:t>
            </w:r>
            <w:r>
              <w:t>SLA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קביעה ועדכון של מדדים ושל ערכים למדידה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ביצוע מדידות רמות שירות 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בקרה של רמת השירות ודיווח עליה 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בקרת  השירות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חישוב פיצוי מוסכם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c>
          <w:tcPr>
            <w:tcW w:w="539" w:type="dxa"/>
            <w:vMerge w:val="restart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  <w:vMerge w:val="restart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אבטחת מידע</w:t>
            </w:r>
          </w:p>
        </w:tc>
        <w:tc>
          <w:tcPr>
            <w:tcW w:w="5096" w:type="dxa"/>
          </w:tcPr>
          <w:p w:rsidR="001B570F" w:rsidRPr="00F4549F" w:rsidRDefault="001B570F" w:rsidP="00F4549F">
            <w:pPr>
              <w:pStyle w:val="TableText"/>
              <w:rPr>
                <w:rFonts w:ascii="Tahoma" w:hAnsi="Tahoma"/>
              </w:rPr>
            </w:pPr>
            <w:r w:rsidRPr="00F4549F">
              <w:rPr>
                <w:rFonts w:hint="cs"/>
                <w:rtl/>
              </w:rPr>
              <w:t>ביצוע סקר סיכונים</w:t>
            </w:r>
            <w:r w:rsidRPr="00F4549F">
              <w:rPr>
                <w:rFonts w:ascii="Tahoma" w:hAnsi="Tahoma" w:hint="cs"/>
                <w:rtl/>
              </w:rPr>
              <w:t xml:space="preserve"> תקופתי</w:t>
            </w:r>
          </w:p>
        </w:tc>
        <w:tc>
          <w:tcPr>
            <w:tcW w:w="1024" w:type="dxa"/>
          </w:tcPr>
          <w:p w:rsidR="001B570F" w:rsidRPr="00F4549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Pr="00F4549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423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הצעת מדיניות אבטחת מידע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423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  <w:rPr>
                <w:rFonts w:ascii="Tahoma" w:hAnsi="Tahoma"/>
              </w:rPr>
            </w:pPr>
            <w:r>
              <w:rPr>
                <w:rFonts w:hint="cs"/>
                <w:rtl/>
              </w:rPr>
              <w:t>קביעת מדיניות אבטחת מידע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Pr="00F4549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423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  <w:rPr>
                <w:rFonts w:ascii="Tahoma" w:hAnsi="Tahoma"/>
              </w:rPr>
            </w:pPr>
            <w:r>
              <w:rPr>
                <w:rFonts w:hint="cs"/>
                <w:rtl/>
              </w:rPr>
              <w:t>בניית נהלים, מעקב אכיפה, התרעה על סיכונים</w:t>
            </w:r>
          </w:p>
        </w:tc>
        <w:tc>
          <w:tcPr>
            <w:tcW w:w="1024" w:type="dxa"/>
          </w:tcPr>
          <w:p w:rsidR="001B570F" w:rsidRPr="00F4549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Pr="00F4549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423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אישור נהלי אבטחת מידע 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423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התקנת מערכות אבטחת מידע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423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  <w:rPr>
                <w:rFonts w:ascii="Tahoma" w:hAnsi="Tahoma"/>
              </w:rPr>
            </w:pPr>
            <w:r>
              <w:rPr>
                <w:rFonts w:hint="cs"/>
                <w:rtl/>
              </w:rPr>
              <w:t>הפעלת כלי אבטחת מידע עפ</w:t>
            </w:r>
            <w:r w:rsidR="00F4549F">
              <w:rPr>
                <w:rFonts w:hint="cs"/>
                <w:rtl/>
              </w:rPr>
              <w:t>"</w:t>
            </w:r>
            <w:r>
              <w:rPr>
                <w:rFonts w:hint="cs"/>
                <w:rtl/>
              </w:rPr>
              <w:t>י המדיניות המאושרת</w:t>
            </w:r>
          </w:p>
        </w:tc>
        <w:tc>
          <w:tcPr>
            <w:tcW w:w="1024" w:type="dxa"/>
          </w:tcPr>
          <w:p w:rsidR="001B570F" w:rsidRPr="00F4549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Pr="00F4549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423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  <w:rPr>
                <w:rFonts w:ascii="Tahoma" w:hAnsi="Tahoma"/>
              </w:rPr>
            </w:pPr>
            <w:r>
              <w:rPr>
                <w:rFonts w:hint="cs"/>
                <w:rtl/>
              </w:rPr>
              <w:t>ניהול משתמשים והרשאות, בהתאם לנהלים</w:t>
            </w:r>
          </w:p>
        </w:tc>
        <w:tc>
          <w:tcPr>
            <w:tcW w:w="1024" w:type="dxa"/>
          </w:tcPr>
          <w:p w:rsidR="001B570F" w:rsidRPr="00F4549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Pr="00F4549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423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ניטור אבטחת המידע 24 שעות ביממה ו- 7 ימים בשבוע 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Pr="00F4549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423"/>
        </w:trPr>
        <w:tc>
          <w:tcPr>
            <w:tcW w:w="539" w:type="dxa"/>
            <w:vMerge/>
          </w:tcPr>
          <w:p w:rsidR="001B570F" w:rsidRDefault="001B570F" w:rsidP="008974FB">
            <w:pPr>
              <w:pStyle w:val="TableNumeric"/>
              <w:bidi w:val="0"/>
            </w:pPr>
          </w:p>
        </w:tc>
        <w:tc>
          <w:tcPr>
            <w:tcW w:w="1800" w:type="dxa"/>
            <w:vMerge/>
          </w:tcPr>
          <w:p w:rsidR="001B570F" w:rsidRDefault="001B570F" w:rsidP="00F4549F">
            <w:pPr>
              <w:pStyle w:val="TableText"/>
              <w:bidi w:val="0"/>
            </w:pP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ביצוע פעילות פרו אקטיבית ומגיבה, בתחום אבטחת המידע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Pr="00F4549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423"/>
        </w:trPr>
        <w:tc>
          <w:tcPr>
            <w:tcW w:w="539" w:type="dxa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 xml:space="preserve">ניהול הסכמים עם ספקים 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ניהול והפעלת ספקי שירותים ע"פ הסכמים שקיימים עימם</w:t>
            </w: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  <w:tr w:rsidR="001B570F" w:rsidTr="00F4549F">
        <w:trPr>
          <w:trHeight w:val="423"/>
        </w:trPr>
        <w:tc>
          <w:tcPr>
            <w:tcW w:w="539" w:type="dxa"/>
          </w:tcPr>
          <w:p w:rsidR="001B570F" w:rsidRDefault="001B570F" w:rsidP="008974FB">
            <w:pPr>
              <w:pStyle w:val="TableNumeric"/>
            </w:pPr>
          </w:p>
        </w:tc>
        <w:tc>
          <w:tcPr>
            <w:tcW w:w="1800" w:type="dxa"/>
          </w:tcPr>
          <w:p w:rsidR="001B570F" w:rsidRDefault="001B570F" w:rsidP="00F4549F">
            <w:pPr>
              <w:pStyle w:val="TableText"/>
            </w:pPr>
            <w:r>
              <w:rPr>
                <w:rFonts w:hint="cs"/>
                <w:rtl/>
              </w:rPr>
              <w:t>תמיכה בצוותי פיתוח</w:t>
            </w:r>
          </w:p>
        </w:tc>
        <w:tc>
          <w:tcPr>
            <w:tcW w:w="5096" w:type="dxa"/>
          </w:tcPr>
          <w:p w:rsidR="001B570F" w:rsidRDefault="001B570F" w:rsidP="00F4549F">
            <w:pPr>
              <w:pStyle w:val="TableText"/>
            </w:pPr>
          </w:p>
        </w:tc>
        <w:tc>
          <w:tcPr>
            <w:tcW w:w="1024" w:type="dxa"/>
          </w:tcPr>
          <w:p w:rsidR="001B570F" w:rsidRDefault="001B570F" w:rsidP="00F4549F">
            <w:pPr>
              <w:pStyle w:val="TableText"/>
              <w:jc w:val="center"/>
            </w:pPr>
          </w:p>
        </w:tc>
        <w:tc>
          <w:tcPr>
            <w:tcW w:w="849" w:type="dxa"/>
          </w:tcPr>
          <w:p w:rsidR="001B570F" w:rsidRDefault="001B570F" w:rsidP="00F4549F">
            <w:pPr>
              <w:pStyle w:val="TableText"/>
              <w:jc w:val="center"/>
            </w:pPr>
          </w:p>
        </w:tc>
      </w:tr>
    </w:tbl>
    <w:p w:rsidR="00596910" w:rsidRPr="00FC0EFC" w:rsidRDefault="00596910" w:rsidP="008974FB">
      <w:pPr>
        <w:pStyle w:val="Para2"/>
        <w:rPr>
          <w:rtl/>
        </w:rPr>
      </w:pPr>
    </w:p>
    <w:sectPr w:rsidR="00596910" w:rsidRPr="00FC0EFC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27" w:rsidRDefault="007A5127">
      <w:r>
        <w:separator/>
      </w:r>
    </w:p>
  </w:endnote>
  <w:endnote w:type="continuationSeparator" w:id="0">
    <w:p w:rsidR="007A5127" w:rsidRDefault="007A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69" w:rsidRDefault="002811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69" w:rsidRDefault="00281169" w:rsidP="00281169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81169" w:rsidRDefault="00281169" w:rsidP="00281169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281169" w:rsidRDefault="00281169" w:rsidP="00281169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281169" w:rsidRDefault="00281169" w:rsidP="00281169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694F59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27" w:rsidRDefault="007A5127">
      <w:r>
        <w:separator/>
      </w:r>
    </w:p>
  </w:footnote>
  <w:footnote w:type="continuationSeparator" w:id="0">
    <w:p w:rsidR="007A5127" w:rsidRDefault="007A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169" w:rsidRDefault="002811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8974FB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974FB">
      <w:rPr>
        <w:rtl/>
      </w:rPr>
      <w:t>שירותים במיקור חוץ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8974FB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81169">
      <w:rPr>
        <w:noProof/>
        <w:rtl/>
      </w:rPr>
      <w:t>‏20/04/2015</w:t>
    </w:r>
    <w:r>
      <w:rPr>
        <w:rtl/>
      </w:rPr>
      <w:fldChar w:fldCharType="end"/>
    </w:r>
  </w:p>
  <w:p w:rsidR="00536185" w:rsidRDefault="00281169" w:rsidP="008974FB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8974FB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8974FB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974FB">
      <w:rPr>
        <w:noProof/>
      </w:rPr>
      <w:t>h_outsourcing_wform03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281169">
      <w:rPr>
        <w:rFonts w:cs="Miriam"/>
        <w:noProof/>
        <w:rtl/>
      </w:rPr>
      <w:t>3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281169">
      <w:fldChar w:fldCharType="begin"/>
    </w:r>
    <w:r w:rsidR="00281169">
      <w:instrText xml:space="preserve"> NUMPAGES </w:instrText>
    </w:r>
    <w:r w:rsidR="00281169">
      <w:fldChar w:fldCharType="separate"/>
    </w:r>
    <w:r w:rsidR="00281169">
      <w:rPr>
        <w:noProof/>
        <w:rtl/>
      </w:rPr>
      <w:t>3</w:t>
    </w:r>
    <w:r w:rsidR="00281169">
      <w:rPr>
        <w:noProof/>
      </w:rPr>
      <w:fldChar w:fldCharType="end"/>
    </w:r>
  </w:p>
  <w:p w:rsidR="008974FB" w:rsidRDefault="008974FB" w:rsidP="008974FB">
    <w:pPr>
      <w:pStyle w:val="SectionTitle"/>
      <w:rPr>
        <w:szCs w:val="18"/>
        <w:rtl/>
      </w:rPr>
    </w:pPr>
    <w:fldSimple w:instr=" TITLE  \* MERGEFORMAT ">
      <w:r>
        <w:rPr>
          <w:rtl/>
        </w:rPr>
        <w:t>שירותים במיקור חוץ</w:t>
      </w:r>
    </w:fldSimple>
  </w:p>
  <w:p w:rsidR="00C66C8C" w:rsidRDefault="00C66C8C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1104"/>
    <w:rsid w:val="0014628F"/>
    <w:rsid w:val="00161C46"/>
    <w:rsid w:val="00176B12"/>
    <w:rsid w:val="001A2F96"/>
    <w:rsid w:val="001B570F"/>
    <w:rsid w:val="001B6CAA"/>
    <w:rsid w:val="00244B47"/>
    <w:rsid w:val="00255DA2"/>
    <w:rsid w:val="00281169"/>
    <w:rsid w:val="00284813"/>
    <w:rsid w:val="00294D55"/>
    <w:rsid w:val="0035457A"/>
    <w:rsid w:val="003D053F"/>
    <w:rsid w:val="003D6E8E"/>
    <w:rsid w:val="003F0F1B"/>
    <w:rsid w:val="003F2752"/>
    <w:rsid w:val="004E4E82"/>
    <w:rsid w:val="005077F2"/>
    <w:rsid w:val="00536185"/>
    <w:rsid w:val="00581586"/>
    <w:rsid w:val="005938A2"/>
    <w:rsid w:val="00596910"/>
    <w:rsid w:val="005B0B5F"/>
    <w:rsid w:val="00617B57"/>
    <w:rsid w:val="00663DD0"/>
    <w:rsid w:val="00665B7B"/>
    <w:rsid w:val="006825F6"/>
    <w:rsid w:val="00694F59"/>
    <w:rsid w:val="006A6F0D"/>
    <w:rsid w:val="006B275A"/>
    <w:rsid w:val="00756362"/>
    <w:rsid w:val="007A5127"/>
    <w:rsid w:val="007B3814"/>
    <w:rsid w:val="00814B67"/>
    <w:rsid w:val="008205E7"/>
    <w:rsid w:val="008609AF"/>
    <w:rsid w:val="008974FB"/>
    <w:rsid w:val="008B1D30"/>
    <w:rsid w:val="008C3C37"/>
    <w:rsid w:val="00961B07"/>
    <w:rsid w:val="00966607"/>
    <w:rsid w:val="0097533A"/>
    <w:rsid w:val="00994AD0"/>
    <w:rsid w:val="009962A5"/>
    <w:rsid w:val="009E231A"/>
    <w:rsid w:val="00A11E55"/>
    <w:rsid w:val="00A77DAA"/>
    <w:rsid w:val="00C66C8C"/>
    <w:rsid w:val="00CE0E8A"/>
    <w:rsid w:val="00D319DD"/>
    <w:rsid w:val="00DE40F7"/>
    <w:rsid w:val="00DF409F"/>
    <w:rsid w:val="00E243D5"/>
    <w:rsid w:val="00E53DB8"/>
    <w:rsid w:val="00E76002"/>
    <w:rsid w:val="00F24CAD"/>
    <w:rsid w:val="00F4549F"/>
    <w:rsid w:val="00F74D5D"/>
    <w:rsid w:val="00FA0713"/>
    <w:rsid w:val="00FC0EFC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8953526-FC32-4001-94F6-A7F2D676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02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E76002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E76002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E7600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E7600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E7600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E7600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E76002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E76002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E76002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E7600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76002"/>
  </w:style>
  <w:style w:type="paragraph" w:customStyle="1" w:styleId="Base">
    <w:name w:val="Base"/>
    <w:rsid w:val="00E76002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F24CAD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E76002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E76002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E76002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E76002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E76002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E76002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E76002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E76002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F24CAD"/>
    <w:pPr>
      <w:jc w:val="center"/>
    </w:pPr>
    <w:rPr>
      <w:bCs/>
    </w:rPr>
  </w:style>
  <w:style w:type="paragraph" w:customStyle="1" w:styleId="DataItem">
    <w:name w:val="DataItem"/>
    <w:basedOn w:val="Base"/>
    <w:rsid w:val="00F24CAD"/>
    <w:pPr>
      <w:jc w:val="left"/>
    </w:pPr>
  </w:style>
  <w:style w:type="paragraph" w:customStyle="1" w:styleId="DataItemB">
    <w:name w:val="DataItemB"/>
    <w:basedOn w:val="Base"/>
    <w:rsid w:val="00F24CAD"/>
    <w:pPr>
      <w:jc w:val="left"/>
    </w:pPr>
    <w:rPr>
      <w:b/>
      <w:bCs/>
    </w:rPr>
  </w:style>
  <w:style w:type="paragraph" w:customStyle="1" w:styleId="Draft">
    <w:name w:val="Draft"/>
    <w:basedOn w:val="Base"/>
    <w:rsid w:val="00E76002"/>
    <w:rPr>
      <w:rFonts w:cs="Guttman Yad"/>
      <w:i/>
    </w:rPr>
  </w:style>
  <w:style w:type="paragraph" w:customStyle="1" w:styleId="Draft1">
    <w:name w:val="Draft1"/>
    <w:basedOn w:val="Base"/>
    <w:rsid w:val="00E76002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E76002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E76002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E76002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E76002"/>
    <w:pPr>
      <w:jc w:val="center"/>
    </w:pPr>
  </w:style>
  <w:style w:type="paragraph" w:customStyle="1" w:styleId="Instruction">
    <w:name w:val="Instruction"/>
    <w:basedOn w:val="Base"/>
    <w:rsid w:val="00F24CAD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F24CAD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F24CAD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F24CAD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E76002"/>
    <w:pPr>
      <w:spacing w:before="0"/>
      <w:ind w:left="720"/>
    </w:pPr>
  </w:style>
  <w:style w:type="paragraph" w:customStyle="1" w:styleId="ListContinue2">
    <w:name w:val="List Continue2"/>
    <w:basedOn w:val="Base"/>
    <w:rsid w:val="00E76002"/>
    <w:pPr>
      <w:spacing w:before="0"/>
      <w:ind w:left="1083"/>
    </w:pPr>
  </w:style>
  <w:style w:type="paragraph" w:customStyle="1" w:styleId="ListContinue3">
    <w:name w:val="List Continue3"/>
    <w:basedOn w:val="Base"/>
    <w:rsid w:val="00E76002"/>
    <w:pPr>
      <w:spacing w:before="0"/>
      <w:ind w:left="1440"/>
    </w:pPr>
  </w:style>
  <w:style w:type="paragraph" w:customStyle="1" w:styleId="ListContinue">
    <w:name w:val="ListContinue"/>
    <w:basedOn w:val="Base"/>
    <w:rsid w:val="00F24CAD"/>
    <w:pPr>
      <w:spacing w:before="0"/>
      <w:ind w:left="397"/>
    </w:pPr>
  </w:style>
  <w:style w:type="paragraph" w:customStyle="1" w:styleId="12">
    <w:name w:val="רגיל1"/>
    <w:basedOn w:val="Base"/>
    <w:rsid w:val="00F24CAD"/>
  </w:style>
  <w:style w:type="paragraph" w:customStyle="1" w:styleId="Normaltitle">
    <w:name w:val="Normal title"/>
    <w:basedOn w:val="Base"/>
    <w:next w:val="12"/>
    <w:rsid w:val="00F24CAD"/>
    <w:rPr>
      <w:b/>
      <w:bCs/>
    </w:rPr>
  </w:style>
  <w:style w:type="paragraph" w:customStyle="1" w:styleId="Normal1">
    <w:name w:val="Normal1"/>
    <w:basedOn w:val="Base"/>
    <w:rsid w:val="00E76002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F24CAD"/>
    <w:pPr>
      <w:ind w:left="397"/>
    </w:pPr>
    <w:rPr>
      <w:b/>
      <w:bCs/>
    </w:rPr>
  </w:style>
  <w:style w:type="paragraph" w:customStyle="1" w:styleId="Normal2">
    <w:name w:val="Normal2"/>
    <w:basedOn w:val="Base"/>
    <w:rsid w:val="00E76002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F24CAD"/>
    <w:pPr>
      <w:ind w:left="795"/>
    </w:pPr>
    <w:rPr>
      <w:b/>
      <w:bCs/>
    </w:rPr>
  </w:style>
  <w:style w:type="paragraph" w:customStyle="1" w:styleId="Normal3">
    <w:name w:val="Normal3"/>
    <w:basedOn w:val="Base"/>
    <w:rsid w:val="00F24CAD"/>
    <w:pPr>
      <w:ind w:left="1200"/>
    </w:pPr>
  </w:style>
  <w:style w:type="paragraph" w:customStyle="1" w:styleId="Normal3Title">
    <w:name w:val="Normal3 Title"/>
    <w:basedOn w:val="Base"/>
    <w:next w:val="Normal3"/>
    <w:rsid w:val="00F24CAD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F24CAD"/>
    <w:pPr>
      <w:numPr>
        <w:numId w:val="7"/>
      </w:numPr>
    </w:pPr>
  </w:style>
  <w:style w:type="paragraph" w:customStyle="1" w:styleId="NumberList1">
    <w:name w:val="Number List 1"/>
    <w:basedOn w:val="Base"/>
    <w:rsid w:val="00E76002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E76002"/>
    <w:pPr>
      <w:numPr>
        <w:numId w:val="8"/>
      </w:numPr>
    </w:pPr>
  </w:style>
  <w:style w:type="paragraph" w:customStyle="1" w:styleId="NumberList3">
    <w:name w:val="Number List 3"/>
    <w:basedOn w:val="Base"/>
    <w:rsid w:val="00E76002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E76002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E76002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F24CAD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F24CAD"/>
    <w:pPr>
      <w:pageBreakBefore w:val="0"/>
    </w:pPr>
  </w:style>
  <w:style w:type="paragraph" w:customStyle="1" w:styleId="TableHead">
    <w:name w:val="TableHead"/>
    <w:basedOn w:val="Base"/>
    <w:qFormat/>
    <w:rsid w:val="00E76002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E76002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E76002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E76002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E76002"/>
    <w:rPr>
      <w:szCs w:val="22"/>
    </w:rPr>
  </w:style>
  <w:style w:type="paragraph" w:styleId="TOC4">
    <w:name w:val="toc 4"/>
    <w:basedOn w:val="TOC3"/>
    <w:autoRedefine/>
    <w:uiPriority w:val="39"/>
    <w:rsid w:val="00E76002"/>
  </w:style>
  <w:style w:type="paragraph" w:styleId="TOC5">
    <w:name w:val="toc 5"/>
    <w:basedOn w:val="TOC4"/>
    <w:uiPriority w:val="39"/>
    <w:rsid w:val="00E76002"/>
  </w:style>
  <w:style w:type="paragraph" w:styleId="TOC6">
    <w:name w:val="toc 6"/>
    <w:basedOn w:val="a"/>
    <w:next w:val="a"/>
    <w:autoRedefine/>
    <w:uiPriority w:val="39"/>
    <w:unhideWhenUsed/>
    <w:rsid w:val="00E76002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E76002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E76002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E76002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F24CAD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F24CAD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E76002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E76002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E76002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E76002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E76002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694F59"/>
    <w:pPr>
      <w:jc w:val="center"/>
    </w:pPr>
    <w:rPr>
      <w:bCs/>
    </w:rPr>
  </w:style>
  <w:style w:type="character" w:styleId="Hyperlink">
    <w:name w:val="Hyperlink"/>
    <w:basedOn w:val="a0"/>
    <w:rsid w:val="00F24CAD"/>
    <w:rPr>
      <w:color w:val="0000FF"/>
      <w:u w:val="single"/>
    </w:rPr>
  </w:style>
  <w:style w:type="paragraph" w:customStyle="1" w:styleId="14">
    <w:name w:val="רגיל1"/>
    <w:basedOn w:val="Base"/>
    <w:rsid w:val="00694F59"/>
  </w:style>
  <w:style w:type="character" w:customStyle="1" w:styleId="a4">
    <w:name w:val="כותרת עליונה תו"/>
    <w:aliases w:val="Header תו"/>
    <w:basedOn w:val="a0"/>
    <w:link w:val="a3"/>
    <w:rsid w:val="00F24CAD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E76002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E76002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76002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E76002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E76002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F24CAD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F24CAD"/>
    <w:pPr>
      <w:ind w:left="1588"/>
    </w:pPr>
  </w:style>
  <w:style w:type="paragraph" w:customStyle="1" w:styleId="AlphaList4">
    <w:name w:val="Alpha List 4"/>
    <w:basedOn w:val="Base"/>
    <w:rsid w:val="00E76002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E76002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E76002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E76002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F24CAD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F24CAD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F24CAD"/>
  </w:style>
  <w:style w:type="paragraph" w:customStyle="1" w:styleId="Normal0">
    <w:name w:val="Normal0"/>
    <w:basedOn w:val="Base"/>
    <w:qFormat/>
    <w:rsid w:val="00F24CAD"/>
  </w:style>
  <w:style w:type="paragraph" w:customStyle="1" w:styleId="ListContinue5">
    <w:name w:val="List Continue5"/>
    <w:basedOn w:val="Base"/>
    <w:rsid w:val="00E76002"/>
    <w:pPr>
      <w:spacing w:before="0"/>
      <w:ind w:left="2211"/>
    </w:pPr>
  </w:style>
  <w:style w:type="paragraph" w:customStyle="1" w:styleId="22">
    <w:name w:val="כיתוב2"/>
    <w:basedOn w:val="Base"/>
    <w:rsid w:val="00F24CAD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E76002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E76002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E76002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E76002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E76002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E76002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E76002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E76002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E76002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E76002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E76002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E76002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E76002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E76002"/>
    <w:pPr>
      <w:numPr>
        <w:numId w:val="15"/>
      </w:numPr>
    </w:pPr>
  </w:style>
  <w:style w:type="paragraph" w:customStyle="1" w:styleId="Para0">
    <w:name w:val="Para0"/>
    <w:basedOn w:val="Base"/>
    <w:rsid w:val="00E76002"/>
  </w:style>
  <w:style w:type="paragraph" w:customStyle="1" w:styleId="Para0Title">
    <w:name w:val="Para0 Title"/>
    <w:basedOn w:val="Base"/>
    <w:next w:val="Para0"/>
    <w:semiHidden/>
    <w:rsid w:val="00E76002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E76002"/>
    <w:pPr>
      <w:ind w:left="357"/>
    </w:pPr>
  </w:style>
  <w:style w:type="paragraph" w:customStyle="1" w:styleId="Para1Title">
    <w:name w:val="Para1 Title"/>
    <w:basedOn w:val="Base"/>
    <w:next w:val="Para1"/>
    <w:semiHidden/>
    <w:rsid w:val="00E76002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E76002"/>
    <w:pPr>
      <w:ind w:left="720"/>
    </w:pPr>
  </w:style>
  <w:style w:type="paragraph" w:customStyle="1" w:styleId="Para2Title">
    <w:name w:val="Para2 Title"/>
    <w:basedOn w:val="Base"/>
    <w:next w:val="Para2"/>
    <w:rsid w:val="00E76002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E76002"/>
    <w:pPr>
      <w:ind w:left="1083"/>
    </w:pPr>
  </w:style>
  <w:style w:type="paragraph" w:customStyle="1" w:styleId="Para3Title">
    <w:name w:val="Para3 Title"/>
    <w:basedOn w:val="Base"/>
    <w:next w:val="Para3"/>
    <w:semiHidden/>
    <w:rsid w:val="00E76002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E76002"/>
    <w:pPr>
      <w:ind w:left="1440"/>
    </w:pPr>
  </w:style>
  <w:style w:type="paragraph" w:customStyle="1" w:styleId="Para4Title">
    <w:name w:val="Para4 Title"/>
    <w:basedOn w:val="Base"/>
    <w:semiHidden/>
    <w:rsid w:val="00E76002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E76002"/>
    <w:pPr>
      <w:ind w:left="1786"/>
    </w:pPr>
  </w:style>
  <w:style w:type="paragraph" w:customStyle="1" w:styleId="Para5Title">
    <w:name w:val="Para5 Title"/>
    <w:basedOn w:val="Base"/>
    <w:semiHidden/>
    <w:qFormat/>
    <w:rsid w:val="00E76002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E76002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E76002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E76002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E76002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E76002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E76002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E76002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E76002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E76002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E76002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E76002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E76002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3</Pages>
  <Words>511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שירותים במיקור חוץ</vt:lpstr>
    </vt:vector>
  </TitlesOfParts>
  <Company>&lt;שם הארגון&gt;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שירותים במיקור חוץ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2014-10-23T10:08:00Z</dcterms:created>
  <dcterms:modified xsi:type="dcterms:W3CDTF">2015-04-20T11:24:00Z</dcterms:modified>
  <cp:category>&lt;סיווג המסמך&gt;</cp:category>
</cp:coreProperties>
</file>